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9B3D09"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 xml:space="preserve">„საქართველოს </w:t>
      </w:r>
      <w:r w:rsidR="00F844D7">
        <w:rPr>
          <w:rFonts w:ascii="Sylfaen" w:hAnsi="Sylfaen" w:cstheme="minorHAnsi"/>
          <w:b/>
          <w:sz w:val="20"/>
          <w:szCs w:val="20"/>
          <w:lang w:val="ka-GE"/>
        </w:rPr>
        <w:t>2024 წლის</w:t>
      </w:r>
      <w:r>
        <w:rPr>
          <w:rFonts w:ascii="Sylfaen" w:hAnsi="Sylfaen" w:cstheme="minorHAnsi"/>
          <w:b/>
          <w:sz w:val="20"/>
          <w:szCs w:val="20"/>
          <w:lang w:val="ka-GE"/>
        </w:rPr>
        <w:t xml:space="preserve"> სახელმწიფო ბიუჯეტის შესახებ“ საქართველოს კანონის პროექტზე </w:t>
      </w:r>
    </w:p>
    <w:p w:rsidR="00F162FD" w:rsidRPr="00F162FD"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თანდართული</w:t>
      </w:r>
      <w:r w:rsidR="00F844D7">
        <w:rPr>
          <w:rFonts w:ascii="Sylfaen" w:hAnsi="Sylfaen" w:cstheme="minorHAnsi"/>
          <w:b/>
          <w:sz w:val="20"/>
          <w:szCs w:val="20"/>
          <w:lang w:val="ka-GE"/>
        </w:rPr>
        <w:t xml:space="preserve">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w:t>
      </w:r>
      <w:r w:rsidR="00F844D7">
        <w:rPr>
          <w:rFonts w:ascii="Sylfaen" w:hAnsi="Sylfaen" w:cstheme="minorHAnsi"/>
          <w:b/>
          <w:sz w:val="20"/>
          <w:szCs w:val="20"/>
          <w:lang w:val="ka-GE"/>
        </w:rPr>
        <w:t>3</w:t>
      </w:r>
      <w:r w:rsidRPr="00F162FD">
        <w:rPr>
          <w:rFonts w:ascii="Sylfaen" w:hAnsi="Sylfaen" w:cstheme="minorHAnsi"/>
          <w:b/>
          <w:sz w:val="20"/>
          <w:szCs w:val="20"/>
          <w:lang w:val="ka-GE"/>
        </w:rPr>
        <w:t xml:space="preserve"> წ</w:t>
      </w:r>
      <w:r w:rsidR="0073665F">
        <w:rPr>
          <w:rFonts w:ascii="Sylfaen" w:hAnsi="Sylfaen" w:cstheme="minorHAnsi"/>
          <w:b/>
          <w:sz w:val="20"/>
          <w:szCs w:val="20"/>
          <w:lang w:val="ka-GE"/>
        </w:rPr>
        <w:t xml:space="preserve">ლის </w:t>
      </w:r>
      <w:r w:rsidR="009B3D09">
        <w:rPr>
          <w:rFonts w:ascii="Sylfaen" w:hAnsi="Sylfaen" w:cstheme="minorHAnsi"/>
          <w:b/>
          <w:sz w:val="20"/>
          <w:szCs w:val="20"/>
          <w:lang w:val="ka-GE"/>
        </w:rPr>
        <w:t>სექტემბერი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7B6E63" w:rsidRPr="00B82AC2"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118359"/>
      <w:r w:rsidR="007B6E63" w:rsidRPr="00B82AC2">
        <w:rPr>
          <w:rFonts w:ascii="Sylfaen" w:hAnsi="Sylfaen" w:cs="Sylfaen"/>
          <w:b/>
          <w:sz w:val="28"/>
          <w:lang w:val="ka-GE"/>
        </w:rPr>
        <w:t>ძირითადი</w:t>
      </w:r>
      <w:r w:rsidR="007B6E63" w:rsidRPr="00B82AC2">
        <w:rPr>
          <w:rFonts w:ascii="Sylfaen" w:hAnsi="Sylfaen"/>
          <w:b/>
          <w:sz w:val="28"/>
          <w:lang w:val="ka-GE"/>
        </w:rPr>
        <w:t xml:space="preserve"> </w:t>
      </w:r>
      <w:r w:rsidR="007B6E63" w:rsidRPr="00B82AC2">
        <w:rPr>
          <w:rFonts w:ascii="Sylfaen" w:hAnsi="Sylfaen" w:cs="Sylfaen"/>
          <w:b/>
          <w:sz w:val="28"/>
          <w:lang w:val="ka-GE"/>
        </w:rPr>
        <w:t>მაკროეკონომიკური</w:t>
      </w:r>
      <w:r w:rsidR="007B6E63" w:rsidRPr="00B82AC2">
        <w:rPr>
          <w:rFonts w:ascii="Sylfaen" w:hAnsi="Sylfaen"/>
          <w:b/>
          <w:sz w:val="28"/>
          <w:lang w:val="ka-GE"/>
        </w:rPr>
        <w:t xml:space="preserve"> </w:t>
      </w:r>
      <w:r w:rsidR="007B6E63" w:rsidRPr="00B82AC2">
        <w:rPr>
          <w:rFonts w:ascii="Sylfaen" w:hAnsi="Sylfaen" w:cs="Sylfaen"/>
          <w:b/>
          <w:sz w:val="28"/>
          <w:lang w:val="ka-GE"/>
        </w:rPr>
        <w:t>და</w:t>
      </w:r>
      <w:r w:rsidR="007B6E63" w:rsidRPr="00B82AC2">
        <w:rPr>
          <w:rFonts w:ascii="Sylfaen" w:hAnsi="Sylfaen"/>
          <w:b/>
          <w:sz w:val="28"/>
          <w:lang w:val="ka-GE"/>
        </w:rPr>
        <w:t xml:space="preserve"> </w:t>
      </w:r>
      <w:r w:rsidR="007B6E63" w:rsidRPr="00B82AC2">
        <w:rPr>
          <w:rFonts w:ascii="Sylfaen" w:hAnsi="Sylfaen" w:cs="Sylfaen"/>
          <w:b/>
          <w:sz w:val="28"/>
          <w:lang w:val="ka-GE"/>
        </w:rPr>
        <w:t>ფისკალური</w:t>
      </w:r>
      <w:r w:rsidR="007B6E63" w:rsidRPr="00B82AC2">
        <w:rPr>
          <w:rFonts w:ascii="Sylfaen" w:hAnsi="Sylfaen"/>
          <w:b/>
          <w:sz w:val="28"/>
          <w:lang w:val="ka-GE"/>
        </w:rPr>
        <w:t xml:space="preserve"> </w:t>
      </w:r>
      <w:r w:rsidR="007B6E63" w:rsidRPr="00B82AC2">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CD7313" w:rsidRDefault="00CD7313" w:rsidP="00EF56BC">
      <w:pPr>
        <w:pStyle w:val="NoSpacing"/>
        <w:spacing w:line="276" w:lineRule="auto"/>
        <w:ind w:firstLine="720"/>
        <w:jc w:val="both"/>
        <w:rPr>
          <w:rFonts w:ascii="Sylfaen" w:hAnsi="Sylfaen"/>
          <w:lang w:val="ka-GE"/>
        </w:rPr>
      </w:pP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წინამდებარე ინფორმაცია მომზადდა </w:t>
      </w:r>
      <w:r w:rsidRPr="00F61572">
        <w:rPr>
          <w:rFonts w:ascii="Sylfaen" w:hAnsi="Sylfaen"/>
          <w:lang w:val="ka-GE"/>
        </w:rPr>
        <w:t>„საქართველოს</w:t>
      </w:r>
      <w:r>
        <w:rPr>
          <w:rFonts w:ascii="Sylfaen" w:hAnsi="Sylfaen"/>
          <w:lang w:val="ka-GE"/>
        </w:rPr>
        <w:t xml:space="preserve"> 2024</w:t>
      </w:r>
      <w:r w:rsidRPr="00F61572">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პროექტთან</w:t>
      </w:r>
      <w:r w:rsidRPr="00F61572">
        <w:rPr>
          <w:rFonts w:ascii="Sylfaen" w:hAnsi="Sylfaen"/>
          <w:lang w:val="ka-GE"/>
        </w:rPr>
        <w:t xml:space="preserve"> ერთად </w:t>
      </w:r>
      <w:r w:rsidRPr="005435CF">
        <w:rPr>
          <w:rFonts w:ascii="Sylfaen" w:hAnsi="Sylfaen"/>
          <w:color w:val="000000" w:themeColor="text1"/>
          <w:lang w:val="ka-GE"/>
        </w:rPr>
        <w:t>და წარმოადგენს 2022 წლის ბოლოს 2023 წლის სახელმწიფო ბიუჯეტის კანონზე თანდართული „202</w:t>
      </w:r>
      <w:r w:rsidRPr="005435CF">
        <w:rPr>
          <w:rFonts w:ascii="Sylfaen" w:hAnsi="Sylfaen"/>
          <w:color w:val="000000" w:themeColor="text1"/>
        </w:rPr>
        <w:t>3</w:t>
      </w:r>
      <w:r w:rsidRPr="005435CF">
        <w:rPr>
          <w:rFonts w:ascii="Sylfaen" w:hAnsi="Sylfaen"/>
          <w:color w:val="000000" w:themeColor="text1"/>
          <w:lang w:val="ka-GE"/>
        </w:rPr>
        <w:t>-202</w:t>
      </w:r>
      <w:r w:rsidRPr="005435CF">
        <w:rPr>
          <w:rFonts w:ascii="Sylfaen" w:hAnsi="Sylfaen"/>
          <w:color w:val="000000" w:themeColor="text1"/>
        </w:rPr>
        <w:t>6</w:t>
      </w:r>
      <w:r w:rsidRPr="005435CF">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საშუალოვადიანი ეკონომიკური და ფისკალური პარამეტრების პროგნოზებთან შედარებით ანალიზს.</w:t>
      </w: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2022 წელს  2021 წლის მსგავსად  (10.5%) მთლიანი შიდა პროდუქტის ზრდამ კვლავ ორნიშნა მაჩვენებელს მიაღწია და 10.1 პროცენტზე დაფიქსირდა. 2022 წლის თებერვალში რუსეთის უკრაინაში შეჭრისა და სრულმასშტაბიანი ომის დაწყების შემდგომ, </w:t>
      </w:r>
      <w:r>
        <w:rPr>
          <w:rFonts w:ascii="Sylfaen" w:hAnsi="Sylfaen"/>
          <w:color w:val="000000" w:themeColor="text1"/>
          <w:lang w:val="ka-GE"/>
        </w:rPr>
        <w:t xml:space="preserve">უარყოფითი </w:t>
      </w:r>
      <w:r w:rsidRPr="005435CF">
        <w:rPr>
          <w:rFonts w:ascii="Sylfaen" w:hAnsi="Sylfaen"/>
          <w:color w:val="000000" w:themeColor="text1"/>
          <w:lang w:val="ka-GE"/>
        </w:rPr>
        <w:t xml:space="preserve"> მაკროეკონომიკური რისკების ნაწილობრივი რეალიზების პარალელურად, მნიშვნელოვნად გამოცოცხლდა როგორც საშინაო, ისე - საგარეო სექტორები. საგარეო სექტორის გამოცოცხლება აისახა როგორც საქონლი</w:t>
      </w:r>
      <w:r>
        <w:rPr>
          <w:rFonts w:ascii="Sylfaen" w:hAnsi="Sylfaen"/>
          <w:color w:val="000000" w:themeColor="text1"/>
          <w:lang w:val="ka-GE"/>
        </w:rPr>
        <w:t>თ</w:t>
      </w:r>
      <w:r w:rsidRPr="005435CF">
        <w:rPr>
          <w:rFonts w:ascii="Sylfaen" w:hAnsi="Sylfaen"/>
          <w:color w:val="000000" w:themeColor="text1"/>
          <w:lang w:val="ka-GE"/>
        </w:rPr>
        <w:t>ა და მომსახურები</w:t>
      </w:r>
      <w:r>
        <w:rPr>
          <w:rFonts w:ascii="Sylfaen" w:hAnsi="Sylfaen"/>
          <w:color w:val="000000" w:themeColor="text1"/>
          <w:lang w:val="ka-GE"/>
        </w:rPr>
        <w:t>თ ვაჭრობის</w:t>
      </w:r>
      <w:r w:rsidRPr="005435CF">
        <w:rPr>
          <w:rFonts w:ascii="Sylfaen" w:hAnsi="Sylfaen"/>
          <w:color w:val="000000" w:themeColor="text1"/>
          <w:lang w:val="ka-GE"/>
        </w:rPr>
        <w:t>,  ისე - ფულადი გზავნილების ზრდით, განსაკუთრებით აღსანიშნავია ტურიზმის სექტორის სწრაფი ტემპებით აღდგენა, საიდანაც მიღებულმა შემოსავალმა 7.6%-ით გადააჭარბა 2019 წლის მაჩვენებელს.  გააქტიურებული საგარეო სექტორის პარალელურად მნიშვნელოვანი გამოცოცხლება დაფიქსირდა შიდა ინვესტიციების ზრდის მიმართულებითაც, რომელთა შედეგადაც 2022</w:t>
      </w:r>
      <w:r w:rsidRPr="005435CF">
        <w:rPr>
          <w:rFonts w:ascii="Sylfaen" w:hAnsi="Sylfaen"/>
          <w:color w:val="000000" w:themeColor="text1"/>
        </w:rPr>
        <w:t xml:space="preserve"> </w:t>
      </w:r>
      <w:r w:rsidRPr="005435CF">
        <w:rPr>
          <w:rFonts w:ascii="Sylfaen" w:hAnsi="Sylfaen"/>
          <w:color w:val="000000" w:themeColor="text1"/>
          <w:lang w:val="ka-GE"/>
        </w:rPr>
        <w:t xml:space="preserve">წელს ეკონომიკურმა  ზრდამ 10.1 პროცენტს მიაღწია. </w:t>
      </w:r>
    </w:p>
    <w:p w:rsidR="00B82AC2" w:rsidRPr="005435CF" w:rsidRDefault="00B82AC2" w:rsidP="00B82AC2">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w:t>
      </w:r>
      <w:r>
        <w:rPr>
          <w:rFonts w:ascii="Sylfaen" w:hAnsi="Sylfaen"/>
          <w:color w:val="000000" w:themeColor="text1"/>
          <w:lang w:val="ka-GE"/>
        </w:rPr>
        <w:t xml:space="preserve">და მეორე </w:t>
      </w:r>
      <w:r w:rsidRPr="005435CF">
        <w:rPr>
          <w:rFonts w:ascii="Sylfaen" w:hAnsi="Sylfaen"/>
          <w:color w:val="000000" w:themeColor="text1"/>
          <w:lang w:val="ka-GE"/>
        </w:rPr>
        <w:t xml:space="preserve">კვარტალში ეკონომიკურმა ზრდამ </w:t>
      </w:r>
      <w:r>
        <w:rPr>
          <w:rFonts w:ascii="Sylfaen" w:hAnsi="Sylfaen"/>
          <w:color w:val="000000" w:themeColor="text1"/>
          <w:lang w:val="ka-GE"/>
        </w:rPr>
        <w:t xml:space="preserve">შესაბამისად </w:t>
      </w:r>
      <w:r w:rsidRPr="005435CF">
        <w:rPr>
          <w:rFonts w:ascii="Sylfaen" w:hAnsi="Sylfaen"/>
          <w:color w:val="000000" w:themeColor="text1"/>
          <w:lang w:val="ka-GE"/>
        </w:rPr>
        <w:t xml:space="preserve">7.7 </w:t>
      </w:r>
      <w:r>
        <w:rPr>
          <w:rFonts w:ascii="Sylfaen" w:hAnsi="Sylfaen"/>
          <w:color w:val="000000" w:themeColor="text1"/>
          <w:lang w:val="ka-GE"/>
        </w:rPr>
        <w:t xml:space="preserve">და 7.5 </w:t>
      </w:r>
      <w:r w:rsidRPr="005435CF">
        <w:rPr>
          <w:rFonts w:ascii="Sylfaen" w:hAnsi="Sylfaen"/>
          <w:color w:val="000000" w:themeColor="text1"/>
          <w:lang w:val="ka-GE"/>
        </w:rPr>
        <w:t xml:space="preserve">პროცენტი შეადგინა, ხოლო პირველი </w:t>
      </w:r>
      <w:r>
        <w:rPr>
          <w:rFonts w:ascii="Sylfaen" w:hAnsi="Sylfaen"/>
          <w:color w:val="000000" w:themeColor="text1"/>
          <w:lang w:val="ka-GE"/>
        </w:rPr>
        <w:t>7</w:t>
      </w:r>
      <w:r w:rsidRPr="005435CF">
        <w:rPr>
          <w:rFonts w:ascii="Sylfaen" w:hAnsi="Sylfaen"/>
          <w:color w:val="000000" w:themeColor="text1"/>
          <w:lang w:val="ka-GE"/>
        </w:rPr>
        <w:t xml:space="preserve"> თვის საშუალო ეკონომიკური ზრდა 7.</w:t>
      </w:r>
      <w:r>
        <w:rPr>
          <w:rFonts w:ascii="Sylfaen" w:hAnsi="Sylfaen"/>
          <w:color w:val="000000" w:themeColor="text1"/>
          <w:lang w:val="ka-GE"/>
        </w:rPr>
        <w:t>2</w:t>
      </w:r>
      <w:r w:rsidRPr="005435CF">
        <w:rPr>
          <w:rFonts w:ascii="Sylfaen" w:hAnsi="Sylfaen"/>
          <w:color w:val="000000" w:themeColor="text1"/>
          <w:lang w:val="ka-GE"/>
        </w:rPr>
        <w:t xml:space="preserve"> პროცენტზე დაფიქსირდა. </w:t>
      </w:r>
      <w:r>
        <w:rPr>
          <w:rFonts w:ascii="Sylfaen" w:hAnsi="Sylfaen"/>
          <w:color w:val="000000" w:themeColor="text1"/>
          <w:lang w:val="ka-GE"/>
        </w:rPr>
        <w:t xml:space="preserve">ამასთან, მიმდინარე წლის ივლისში რეალურმა ზრდამ 5.5 პროცენტი შეადგინა. </w:t>
      </w:r>
      <w:r w:rsidRPr="005435CF">
        <w:rPr>
          <w:rFonts w:ascii="Sylfaen" w:hAnsi="Sylfaen"/>
          <w:color w:val="000000" w:themeColor="text1"/>
        </w:rPr>
        <w:t xml:space="preserve">2023-2026 </w:t>
      </w:r>
      <w:r w:rsidRPr="005435CF">
        <w:rPr>
          <w:rFonts w:ascii="Sylfaen" w:hAnsi="Sylfaen"/>
          <w:color w:val="000000" w:themeColor="text1"/>
          <w:lang w:val="ka-GE"/>
        </w:rPr>
        <w:t xml:space="preserve">წლების ძირითადი მაკროეკონომიკური პარამეტრების წინასწარ პროგნოზებში 2023 წლის ეკონომიკური ზრდის პროგნოზი 5.0 პროცენტს შეადგენდა, 2024-2027 წლების პროგნოზების მიხედვით კი 2023 წელს მოსალოდნელია </w:t>
      </w:r>
      <w:r>
        <w:rPr>
          <w:rFonts w:ascii="Sylfaen" w:hAnsi="Sylfaen"/>
          <w:color w:val="000000" w:themeColor="text1"/>
          <w:lang w:val="ka-GE"/>
        </w:rPr>
        <w:t>6.5</w:t>
      </w:r>
      <w:r w:rsidRPr="005435CF">
        <w:rPr>
          <w:rFonts w:ascii="Sylfaen" w:hAnsi="Sylfaen"/>
          <w:color w:val="000000" w:themeColor="text1"/>
          <w:lang w:val="ka-GE"/>
        </w:rPr>
        <w:t xml:space="preserve"> პროცენტიანი ეკონომიკური ზრდა, თუმცა პირველი </w:t>
      </w:r>
      <w:r>
        <w:rPr>
          <w:rFonts w:ascii="Sylfaen" w:hAnsi="Sylfaen"/>
          <w:color w:val="000000" w:themeColor="text1"/>
          <w:lang w:val="ka-GE"/>
        </w:rPr>
        <w:t>7</w:t>
      </w:r>
      <w:r w:rsidRPr="005435CF">
        <w:rPr>
          <w:rFonts w:ascii="Sylfaen" w:hAnsi="Sylfaen"/>
          <w:color w:val="000000" w:themeColor="text1"/>
          <w:lang w:val="ka-GE"/>
        </w:rPr>
        <w:t xml:space="preserve"> თვის მონაცემებით ეკონომიკა მოსალოდნელზე უფრო მაღალი მაჩვენებლით იზრდება. რაც შეეხება 2024 წლის და საშუალოვადიან პროგნოზებს, ეკონომიკური ზრდის საპროგნოზო მაჩვენებელი 5.0 პროცენტზეა. 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ან უარყოფითად.</w:t>
      </w: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წარმოდგენილ ცხრილებში </w:t>
      </w:r>
      <w:r>
        <w:rPr>
          <w:rFonts w:ascii="Sylfaen" w:hAnsi="Sylfaen"/>
          <w:color w:val="000000" w:themeColor="text1"/>
        </w:rPr>
        <w:t xml:space="preserve">2024 </w:t>
      </w:r>
      <w:r>
        <w:rPr>
          <w:rFonts w:ascii="Sylfaen" w:hAnsi="Sylfaen"/>
          <w:color w:val="000000" w:themeColor="text1"/>
          <w:lang w:val="ka-GE"/>
        </w:rPr>
        <w:t xml:space="preserve">წლის ბიუჯეტის კანონზე თანდართული საშუალოვადიანი </w:t>
      </w:r>
      <w:r w:rsidRPr="005435CF">
        <w:rPr>
          <w:rFonts w:ascii="Sylfaen" w:hAnsi="Sylfaen"/>
          <w:color w:val="000000" w:themeColor="text1"/>
          <w:lang w:val="ka-GE"/>
        </w:rPr>
        <w:t>პროგნოზები შედარებულია 2022 წლის დეკემბერში წარმოდგენილ 2023 წლის სახელმწიფო ბიუჯეტის კანონზე თანდართულ ცხრილებთან. რუსეთის მიერ უკრაინაში შეჭრით გამოწვეული საომარი მდგომარეობის გათვალისწინებით და მსოფლიოში მიმდინარე ვითარებიდან გამომდინარე კვლავ არ არის მკაფიო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2023 წლის არსებულ (იანვარ-</w:t>
      </w:r>
      <w:r>
        <w:rPr>
          <w:rFonts w:ascii="Sylfaen" w:hAnsi="Sylfaen"/>
          <w:color w:val="000000" w:themeColor="text1"/>
          <w:lang w:val="ka-GE"/>
        </w:rPr>
        <w:t>აგვისტოს</w:t>
      </w:r>
      <w:r w:rsidRPr="005435CF">
        <w:rPr>
          <w:rFonts w:ascii="Sylfaen" w:hAnsi="Sylfaen"/>
          <w:color w:val="000000" w:themeColor="text1"/>
          <w:lang w:val="ka-GE"/>
        </w:rPr>
        <w:t xml:space="preserve">) ეკონომიკური განვითარების ტენდენციებში </w:t>
      </w:r>
      <w:r>
        <w:rPr>
          <w:rFonts w:ascii="Sylfaen" w:hAnsi="Sylfaen"/>
          <w:color w:val="000000" w:themeColor="text1"/>
          <w:lang w:val="ka-GE"/>
        </w:rPr>
        <w:t>შეინიშნება როგორც შიდა, ისე გარე ფაქტორების მოსალოდნელზე მაღალი აქტივობა</w:t>
      </w:r>
      <w:r w:rsidRPr="005435CF">
        <w:rPr>
          <w:rFonts w:ascii="Sylfaen" w:hAnsi="Sylfaen"/>
          <w:color w:val="000000" w:themeColor="text1"/>
          <w:lang w:val="ka-GE"/>
        </w:rPr>
        <w:t xml:space="preserve"> და ეკონომიკური ზრდის დაგეგმილზე კიდევ უფრო მეტი პოტენციალი. არსებული ფაქტორების გათვალისწინებით, 2023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კვლავ 5.0 პროცენტის ფარგლებშია წარმოდგენილი, 2022 წლის დეკემბერში წარმოდგენილი პროგნოზის მსგავსად. ამასთან, გლობალურად მიმდინარე სხვადასხვა მოვლენების ფონზე და მიმდინარე წლის პირველი </w:t>
      </w:r>
      <w:r>
        <w:rPr>
          <w:rFonts w:ascii="Sylfaen" w:hAnsi="Sylfaen"/>
          <w:color w:val="000000" w:themeColor="text1"/>
          <w:lang w:val="ka-GE"/>
        </w:rPr>
        <w:t>8 თვის</w:t>
      </w:r>
      <w:r w:rsidRPr="005435CF">
        <w:rPr>
          <w:rFonts w:ascii="Sylfaen" w:hAnsi="Sylfaen"/>
          <w:color w:val="000000" w:themeColor="text1"/>
          <w:lang w:val="ka-GE"/>
        </w:rPr>
        <w:t xml:space="preserve"> ფაქტობრივ მონაცემებზე დაყრდნობით შემცირებულია ფასების ზრდის საპროგნოზო </w:t>
      </w:r>
      <w:r w:rsidR="00D02123">
        <w:rPr>
          <w:rFonts w:ascii="Sylfaen" w:hAnsi="Sylfaen"/>
          <w:color w:val="000000" w:themeColor="text1"/>
          <w:lang w:val="ka-GE"/>
        </w:rPr>
        <w:t>მაჩვენებ</w:t>
      </w:r>
      <w:r w:rsidRPr="005435CF">
        <w:rPr>
          <w:rFonts w:ascii="Sylfaen" w:hAnsi="Sylfaen"/>
          <w:color w:val="000000" w:themeColor="text1"/>
          <w:lang w:val="ka-GE"/>
        </w:rPr>
        <w:t xml:space="preserve">ლები და შეცვლილია საგარეო სექტორთან დაკავშირებული ინდიკატორები. </w:t>
      </w:r>
    </w:p>
    <w:p w:rsidR="00B82AC2" w:rsidRPr="00CB74AC" w:rsidRDefault="00B82AC2" w:rsidP="00B82AC2">
      <w:pPr>
        <w:pStyle w:val="NoSpacing"/>
        <w:spacing w:line="276" w:lineRule="auto"/>
        <w:ind w:firstLine="720"/>
        <w:jc w:val="both"/>
        <w:rPr>
          <w:rFonts w:ascii="Sylfaen" w:hAnsi="Sylfaen"/>
          <w:color w:val="000000" w:themeColor="text1"/>
          <w:lang w:val="ka-GE"/>
        </w:rPr>
      </w:pPr>
    </w:p>
    <w:p w:rsidR="00B82AC2" w:rsidRPr="00C9780C" w:rsidRDefault="00B82AC2" w:rsidP="00B82AC2">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4318"/>
        <w:gridCol w:w="1248"/>
        <w:gridCol w:w="1407"/>
        <w:gridCol w:w="841"/>
        <w:gridCol w:w="841"/>
        <w:gridCol w:w="841"/>
        <w:gridCol w:w="841"/>
      </w:tblGrid>
      <w:tr w:rsidR="00B82AC2" w:rsidRPr="00C9780C" w:rsidTr="00D02123">
        <w:trPr>
          <w:trHeight w:val="119"/>
          <w:tblHeader/>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603"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680"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407" w:type="pct"/>
          </w:tcPr>
          <w:p w:rsidR="00B82AC2"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r>
      <w:tr w:rsidR="00B82AC2" w:rsidRPr="00C9780C" w:rsidTr="00D02123">
        <w:trPr>
          <w:trHeight w:val="119"/>
          <w:tblHeader/>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03"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680"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vAlign w:val="bottom"/>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603"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80"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tcPr>
          <w:p w:rsidR="00B82AC2" w:rsidRPr="00C9780C" w:rsidRDefault="00B82AC2" w:rsidP="00D02123">
            <w:pPr>
              <w:spacing w:after="0" w:line="240" w:lineRule="auto"/>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10.0</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6.5</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1.5</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5</w:t>
            </w:r>
            <w:r w:rsidRPr="00CC4E93">
              <w:rPr>
                <w:rFonts w:ascii="Sylfaen" w:eastAsia="Times New Roman" w:hAnsi="Sylfaen" w:cs="Calibri"/>
                <w:color w:val="000000"/>
                <w:sz w:val="18"/>
              </w:rPr>
              <w:t>.0%</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rPr>
              <w:t>9</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10.6%</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6</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11.4%</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1.8%</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lang w:val="ka-GE"/>
              </w:rPr>
            </w:pPr>
          </w:p>
        </w:tc>
      </w:tr>
      <w:tr w:rsidR="00B82AC2" w:rsidRPr="00C9780C" w:rsidTr="00D02123">
        <w:trPr>
          <w:trHeight w:val="119"/>
        </w:trPr>
        <w:tc>
          <w:tcPr>
            <w:tcW w:w="2088" w:type="pct"/>
            <w:shd w:val="clear" w:color="auto" w:fill="auto"/>
            <w:noWrap/>
            <w:vAlign w:val="bottom"/>
            <w:hideMark/>
          </w:tcPr>
          <w:p w:rsidR="00B82AC2" w:rsidRPr="00542BAD" w:rsidRDefault="00B82AC2" w:rsidP="00D02123">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7.2%</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11</w:t>
            </w:r>
            <w:r w:rsidRPr="00CC4E93">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585DDB">
              <w:rPr>
                <w:rFonts w:ascii="Sylfaen" w:eastAsia="Times New Roman" w:hAnsi="Sylfaen" w:cs="Calibri"/>
                <w:color w:val="000000"/>
                <w:sz w:val="18"/>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8.8%</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092F2E"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2.1%</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bl>
    <w:p w:rsidR="00B82AC2" w:rsidRPr="00CD7DD1" w:rsidRDefault="00B82AC2" w:rsidP="00B82AC2">
      <w:pPr>
        <w:pStyle w:val="NoSpacing"/>
        <w:spacing w:line="276" w:lineRule="auto"/>
        <w:ind w:firstLine="720"/>
        <w:jc w:val="both"/>
        <w:rPr>
          <w:rFonts w:ascii="Sylfaen" w:hAnsi="Sylfaen"/>
          <w:color w:val="000000" w:themeColor="text1"/>
          <w:sz w:val="6"/>
          <w:highlight w:val="red"/>
          <w:lang w:val="ka-GE"/>
        </w:rPr>
      </w:pPr>
    </w:p>
    <w:p w:rsidR="00B82AC2" w:rsidRDefault="00B82AC2" w:rsidP="00B82AC2">
      <w:pPr>
        <w:pStyle w:val="NoSpacing"/>
        <w:spacing w:line="276" w:lineRule="auto"/>
        <w:ind w:firstLine="720"/>
        <w:jc w:val="both"/>
        <w:rPr>
          <w:rFonts w:ascii="Sylfaen" w:hAnsi="Sylfaen"/>
          <w:color w:val="000000" w:themeColor="text1"/>
          <w:lang w:val="ka-GE"/>
        </w:rPr>
      </w:pPr>
    </w:p>
    <w:p w:rsidR="00B82AC2" w:rsidRPr="00E94AC6" w:rsidRDefault="00B82AC2" w:rsidP="00B82AC2">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Pr>
          <w:rFonts w:ascii="Sylfaen" w:hAnsi="Sylfaen"/>
          <w:color w:val="000000" w:themeColor="text1"/>
          <w:lang w:val="ka-GE"/>
        </w:rPr>
        <w:t>2</w:t>
      </w:r>
      <w:r w:rsidRPr="00E94AC6">
        <w:rPr>
          <w:rFonts w:ascii="Sylfaen" w:hAnsi="Sylfaen"/>
          <w:color w:val="000000" w:themeColor="text1"/>
          <w:lang w:val="ka-GE"/>
        </w:rPr>
        <w:t xml:space="preserve"> წელს ეკონომიკური ზრდა </w:t>
      </w:r>
      <w:r>
        <w:rPr>
          <w:rFonts w:ascii="Sylfaen" w:hAnsi="Sylfaen"/>
          <w:color w:val="000000" w:themeColor="text1"/>
          <w:lang w:val="ka-GE"/>
        </w:rPr>
        <w:t xml:space="preserve">როგორც თავდაპირველ პროგნოზზე, ასევე ბოლო ცვლილების შედეგად </w:t>
      </w:r>
      <w:r w:rsidRPr="00E94AC6">
        <w:rPr>
          <w:rFonts w:ascii="Sylfaen" w:hAnsi="Sylfaen"/>
          <w:color w:val="000000" w:themeColor="text1"/>
          <w:lang w:val="ka-GE"/>
        </w:rPr>
        <w:t>ნავარაუდევზე მაღალი აღმოჩნდა</w:t>
      </w:r>
      <w:r>
        <w:rPr>
          <w:rFonts w:ascii="Sylfaen" w:hAnsi="Sylfaen"/>
          <w:color w:val="000000" w:themeColor="text1"/>
          <w:lang w:val="ka-GE"/>
        </w:rPr>
        <w:t xml:space="preserve"> (0.1 პროცენტული პუნქტით)</w:t>
      </w:r>
      <w:r w:rsidRPr="00E94AC6">
        <w:rPr>
          <w:rFonts w:ascii="Sylfaen" w:hAnsi="Sylfaen"/>
          <w:color w:val="000000" w:themeColor="text1"/>
          <w:lang w:val="ka-GE"/>
        </w:rPr>
        <w:t xml:space="preserve">,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შემდგ</w:t>
      </w:r>
      <w:r>
        <w:rPr>
          <w:rFonts w:ascii="Sylfaen" w:hAnsi="Sylfaen"/>
          <w:color w:val="000000" w:themeColor="text1"/>
          <w:lang w:val="ka-GE"/>
        </w:rPr>
        <w:t>ომ</w:t>
      </w:r>
      <w:r w:rsidRPr="00E94AC6">
        <w:rPr>
          <w:rFonts w:ascii="Sylfaen" w:hAnsi="Sylfaen"/>
          <w:color w:val="000000" w:themeColor="text1"/>
          <w:lang w:val="ka-GE"/>
        </w:rPr>
        <w:t xml:space="preserve">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202</w:t>
      </w:r>
      <w:r>
        <w:rPr>
          <w:rFonts w:ascii="Sylfaen" w:hAnsi="Sylfaen"/>
          <w:color w:val="000000" w:themeColor="text1"/>
          <w:lang w:val="ka-GE"/>
        </w:rPr>
        <w:t>3</w:t>
      </w:r>
      <w:r w:rsidRPr="00E94AC6">
        <w:rPr>
          <w:rFonts w:ascii="Sylfaen" w:hAnsi="Sylfaen"/>
          <w:color w:val="000000" w:themeColor="text1"/>
          <w:lang w:val="ka-GE"/>
        </w:rPr>
        <w:t xml:space="preserve">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rPr>
        <w:t>6.5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ნახევრის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B82AC2" w:rsidRDefault="00B82AC2" w:rsidP="00B82AC2">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შემცირებულია</w:t>
      </w:r>
      <w:r w:rsidRPr="00E94AC6">
        <w:rPr>
          <w:rFonts w:ascii="Sylfaen" w:hAnsi="Sylfaen"/>
          <w:color w:val="000000" w:themeColor="text1"/>
          <w:lang w:val="ka-GE"/>
        </w:rPr>
        <w:t xml:space="preserve"> მშპ-ს დეფლატორის როგორც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w:t>
      </w:r>
      <w:r>
        <w:rPr>
          <w:rFonts w:ascii="Sylfaen" w:hAnsi="Sylfaen"/>
          <w:color w:val="000000" w:themeColor="text1"/>
        </w:rPr>
        <w:t xml:space="preserve"> </w:t>
      </w:r>
      <w:r>
        <w:rPr>
          <w:rFonts w:ascii="Sylfaen" w:hAnsi="Sylfaen"/>
          <w:color w:val="000000" w:themeColor="text1"/>
          <w:lang w:val="ka-GE"/>
        </w:rPr>
        <w:t>ისე 2023 წლის საპროგნოზო მაჩვენებლები, ხოლო საშუალოვადიანი პერიოდის მშპ დეფლატორთან დაკავშირებულ პროგნოზებს შორის დიდი გასხვავება არ შეინიშნება.</w:t>
      </w:r>
      <w:r w:rsidRPr="00E94AC6">
        <w:rPr>
          <w:rFonts w:ascii="Sylfaen" w:hAnsi="Sylfaen"/>
          <w:color w:val="000000" w:themeColor="text1"/>
          <w:lang w:val="ka-GE"/>
        </w:rPr>
        <w:t xml:space="preserve"> </w:t>
      </w:r>
      <w:r>
        <w:rPr>
          <w:rFonts w:ascii="Sylfaen" w:hAnsi="Sylfaen"/>
          <w:color w:val="000000" w:themeColor="text1"/>
          <w:lang w:val="ka-GE"/>
        </w:rPr>
        <w:t xml:space="preserve">მიმდინარე პერიოდში დეფლატორის შემცირებული პროგნოზი კი </w:t>
      </w:r>
      <w:r w:rsidRPr="00E94AC6">
        <w:rPr>
          <w:rFonts w:ascii="Sylfaen" w:hAnsi="Sylfaen"/>
          <w:color w:val="000000" w:themeColor="text1"/>
          <w:lang w:val="ka-GE"/>
        </w:rPr>
        <w:t>მნიშვნელოვნად არის გამოწვეული</w:t>
      </w:r>
      <w:r>
        <w:rPr>
          <w:rFonts w:ascii="Sylfaen" w:hAnsi="Sylfaen"/>
          <w:color w:val="000000" w:themeColor="text1"/>
          <w:lang w:val="ka-GE"/>
        </w:rPr>
        <w:t xml:space="preserve"> სურსათზე და </w:t>
      </w:r>
      <w:r w:rsidRPr="00E94AC6">
        <w:rPr>
          <w:rFonts w:ascii="Sylfaen" w:hAnsi="Sylfaen"/>
          <w:color w:val="000000" w:themeColor="text1"/>
          <w:lang w:val="ka-GE"/>
        </w:rPr>
        <w:t xml:space="preserve">ნავთობსა და ნედლეულზე </w:t>
      </w:r>
      <w:r>
        <w:rPr>
          <w:rFonts w:ascii="Sylfaen" w:hAnsi="Sylfaen"/>
          <w:color w:val="000000" w:themeColor="text1"/>
          <w:lang w:val="ka-GE"/>
        </w:rPr>
        <w:t>შემცირებული</w:t>
      </w:r>
      <w:r w:rsidRPr="00E94AC6">
        <w:rPr>
          <w:rFonts w:ascii="Sylfaen" w:hAnsi="Sylfaen"/>
          <w:color w:val="000000" w:themeColor="text1"/>
          <w:lang w:val="ka-GE"/>
        </w:rPr>
        <w:t xml:space="preserve"> ფასებით, რასაც თან ახლავს მიწოდების ჯაჭვების </w:t>
      </w:r>
      <w:r>
        <w:rPr>
          <w:rFonts w:ascii="Sylfaen" w:hAnsi="Sylfaen"/>
          <w:color w:val="000000" w:themeColor="text1"/>
          <w:lang w:val="ka-GE"/>
        </w:rPr>
        <w:t xml:space="preserve">აღდგენითი პროცესები. </w:t>
      </w:r>
      <w:r w:rsidRPr="00E94AC6">
        <w:rPr>
          <w:rFonts w:ascii="Sylfaen" w:hAnsi="Sylfaen"/>
          <w:color w:val="000000" w:themeColor="text1"/>
          <w:lang w:val="ka-GE"/>
        </w:rPr>
        <w:t xml:space="preserve"> </w:t>
      </w:r>
      <w:r>
        <w:rPr>
          <w:rFonts w:ascii="Sylfaen" w:hAnsi="Sylfaen"/>
          <w:color w:val="000000" w:themeColor="text1"/>
          <w:lang w:val="ka-GE"/>
        </w:rPr>
        <w:t>შედარებით დაბალი</w:t>
      </w:r>
      <w:r w:rsidRPr="00E94AC6">
        <w:rPr>
          <w:rFonts w:ascii="Sylfaen" w:hAnsi="Sylfaen"/>
          <w:color w:val="000000" w:themeColor="text1"/>
          <w:lang w:val="ka-GE"/>
        </w:rPr>
        <w:t xml:space="preserve">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B82AC2" w:rsidRDefault="00B82AC2" w:rsidP="00B82AC2">
      <w:pPr>
        <w:pStyle w:val="NoSpacing"/>
        <w:spacing w:line="276" w:lineRule="auto"/>
        <w:ind w:firstLine="720"/>
        <w:jc w:val="both"/>
        <w:rPr>
          <w:rFonts w:ascii="Sylfaen" w:hAnsi="Sylfaen"/>
          <w:color w:val="000000" w:themeColor="text1"/>
          <w:lang w:val="ka-GE"/>
        </w:rPr>
      </w:pPr>
    </w:p>
    <w:p w:rsidR="00B82AC2" w:rsidRPr="00EC7670" w:rsidRDefault="00B82AC2" w:rsidP="00B82AC2">
      <w:pPr>
        <w:pStyle w:val="NoSpacing"/>
        <w:spacing w:line="276" w:lineRule="auto"/>
        <w:jc w:val="both"/>
        <w:rPr>
          <w:rFonts w:ascii="Sylfaen" w:eastAsia="Times New Roman" w:hAnsi="Sylfaen" w:cs="Calibri"/>
          <w:b/>
          <w:bCs/>
          <w:color w:val="000000"/>
          <w:sz w:val="20"/>
          <w:szCs w:val="20"/>
          <w:lang w:val="ka-GE"/>
        </w:rPr>
      </w:pPr>
    </w:p>
    <w:p w:rsidR="00B82AC2" w:rsidRPr="00C9780C" w:rsidRDefault="00B82AC2" w:rsidP="00B82AC2">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387"/>
        <w:gridCol w:w="846"/>
        <w:gridCol w:w="1124"/>
        <w:gridCol w:w="1206"/>
        <w:gridCol w:w="1207"/>
        <w:gridCol w:w="1207"/>
        <w:gridCol w:w="1360"/>
      </w:tblGrid>
      <w:tr w:rsidR="00B82AC2" w:rsidRPr="00C9780C" w:rsidTr="00D02123">
        <w:trPr>
          <w:trHeight w:val="113"/>
        </w:trPr>
        <w:tc>
          <w:tcPr>
            <w:tcW w:w="1421" w:type="pct"/>
            <w:vMerge w:val="restar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B82AC2" w:rsidRPr="00C9780C" w:rsidRDefault="00B82AC2" w:rsidP="00D0212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05" w:type="pct"/>
            <w:shd w:val="clear" w:color="auto" w:fill="auto"/>
            <w:noWrap/>
            <w:vAlign w:val="bottom"/>
            <w:hideMark/>
          </w:tcPr>
          <w:p w:rsidR="00B82AC2" w:rsidRPr="00850A7E"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58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62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62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62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02" w:type="pct"/>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2027</w:t>
            </w:r>
          </w:p>
        </w:tc>
      </w:tr>
      <w:tr w:rsidR="00B82AC2" w:rsidRPr="00C9780C" w:rsidTr="00D02123">
        <w:trPr>
          <w:trHeight w:val="113"/>
        </w:trPr>
        <w:tc>
          <w:tcPr>
            <w:tcW w:w="1421" w:type="pct"/>
            <w:vMerge/>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szCs w:val="18"/>
              </w:rPr>
            </w:pPr>
          </w:p>
        </w:tc>
        <w:tc>
          <w:tcPr>
            <w:tcW w:w="405" w:type="pct"/>
            <w:shd w:val="clear" w:color="auto" w:fill="auto"/>
            <w:noWrap/>
            <w:hideMark/>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ფაქტ.</w:t>
            </w:r>
          </w:p>
        </w:tc>
        <w:tc>
          <w:tcPr>
            <w:tcW w:w="588" w:type="pct"/>
            <w:shd w:val="clear" w:color="auto" w:fill="auto"/>
            <w:noWrap/>
            <w:hideMark/>
          </w:tcPr>
          <w:p w:rsidR="00B82AC2" w:rsidRPr="00B120F5"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მოსალ.</w:t>
            </w:r>
          </w:p>
        </w:tc>
        <w:tc>
          <w:tcPr>
            <w:tcW w:w="628" w:type="pct"/>
            <w:shd w:val="clear" w:color="auto" w:fill="auto"/>
            <w:noWrap/>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628" w:type="pct"/>
            <w:shd w:val="clear" w:color="auto" w:fill="auto"/>
            <w:noWrap/>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628" w:type="pct"/>
            <w:shd w:val="clear" w:color="auto" w:fill="auto"/>
            <w:noWrap/>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702" w:type="pct"/>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w:t>
            </w:r>
          </w:p>
        </w:tc>
      </w:tr>
      <w:tr w:rsidR="00B82AC2" w:rsidRPr="00C9780C" w:rsidTr="00D02123">
        <w:trPr>
          <w:trHeight w:val="113"/>
        </w:trPr>
        <w:tc>
          <w:tcPr>
            <w:tcW w:w="1421" w:type="pct"/>
            <w:shd w:val="clear" w:color="auto" w:fill="auto"/>
            <w:noWrap/>
            <w:vAlign w:val="bottom"/>
            <w:hideMark/>
          </w:tcPr>
          <w:p w:rsidR="00B82AC2" w:rsidRDefault="00B82AC2" w:rsidP="00D0212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B82AC2" w:rsidRPr="00573B92" w:rsidRDefault="00B82AC2" w:rsidP="00D02123">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05"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72</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276</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3</w:t>
            </w:r>
          </w:p>
        </w:tc>
        <w:tc>
          <w:tcPr>
            <w:tcW w:w="588"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9</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684</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w:t>
            </w:r>
          </w:p>
        </w:tc>
        <w:tc>
          <w:tcPr>
            <w:tcW w:w="628" w:type="pct"/>
            <w:shd w:val="clear" w:color="auto" w:fill="auto"/>
            <w:noWrap/>
            <w:vAlign w:val="center"/>
            <w:hideMark/>
          </w:tcPr>
          <w:p w:rsidR="00B82AC2" w:rsidRPr="00C9780C" w:rsidRDefault="00B82AC2" w:rsidP="00D0212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lang w:val="ka-GE"/>
              </w:rPr>
              <w:t>86</w:t>
            </w:r>
            <w:r>
              <w:rPr>
                <w:rFonts w:ascii="Sylfaen" w:eastAsia="Times New Roman" w:hAnsi="Sylfaen" w:cs="Calibri"/>
                <w:bCs/>
                <w:color w:val="000000"/>
                <w:sz w:val="18"/>
                <w:szCs w:val="18"/>
              </w:rPr>
              <w:t>,3</w:t>
            </w:r>
            <w:r>
              <w:rPr>
                <w:rFonts w:ascii="Sylfaen" w:eastAsia="Times New Roman" w:hAnsi="Sylfaen" w:cs="Calibri"/>
                <w:bCs/>
                <w:color w:val="000000"/>
                <w:sz w:val="18"/>
                <w:szCs w:val="18"/>
                <w:lang w:val="ka-GE"/>
              </w:rPr>
              <w:t>4</w:t>
            </w:r>
            <w:r>
              <w:rPr>
                <w:rFonts w:ascii="Sylfaen" w:eastAsia="Times New Roman" w:hAnsi="Sylfaen" w:cs="Calibri"/>
                <w:bCs/>
                <w:color w:val="000000"/>
                <w:sz w:val="18"/>
                <w:szCs w:val="18"/>
              </w:rPr>
              <w:t>3.0</w:t>
            </w:r>
          </w:p>
        </w:tc>
        <w:tc>
          <w:tcPr>
            <w:tcW w:w="628"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93</w:t>
            </w:r>
            <w:r>
              <w:rPr>
                <w:rFonts w:ascii="Sylfaen" w:eastAsia="Times New Roman" w:hAnsi="Sylfaen" w:cs="Calibri"/>
                <w:bCs/>
                <w:color w:val="000000"/>
                <w:sz w:val="18"/>
                <w:szCs w:val="18"/>
              </w:rPr>
              <w:t>,5</w:t>
            </w:r>
            <w:r>
              <w:rPr>
                <w:rFonts w:ascii="Sylfaen" w:eastAsia="Times New Roman" w:hAnsi="Sylfaen" w:cs="Calibri"/>
                <w:bCs/>
                <w:color w:val="000000"/>
                <w:sz w:val="18"/>
                <w:szCs w:val="18"/>
                <w:lang w:val="ka-GE"/>
              </w:rPr>
              <w:t>57</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8</w:t>
            </w:r>
          </w:p>
        </w:tc>
        <w:tc>
          <w:tcPr>
            <w:tcW w:w="628"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101,182.8</w:t>
            </w:r>
          </w:p>
        </w:tc>
        <w:tc>
          <w:tcPr>
            <w:tcW w:w="702" w:type="pct"/>
          </w:tcPr>
          <w:p w:rsidR="00B82AC2" w:rsidRPr="00C9780C" w:rsidRDefault="00B82AC2" w:rsidP="00D02123">
            <w:pPr>
              <w:spacing w:after="0" w:line="240" w:lineRule="auto"/>
              <w:jc w:val="right"/>
              <w:rPr>
                <w:rFonts w:ascii="Sylfaen" w:eastAsia="Times New Roman" w:hAnsi="Sylfaen" w:cs="Calibri"/>
                <w:bCs/>
                <w:color w:val="000000"/>
                <w:sz w:val="18"/>
                <w:szCs w:val="18"/>
              </w:rPr>
            </w:pPr>
          </w:p>
        </w:tc>
      </w:tr>
      <w:tr w:rsidR="00B82AC2" w:rsidRPr="00C9780C" w:rsidTr="00D02123">
        <w:trPr>
          <w:trHeight w:val="113"/>
        </w:trPr>
        <w:tc>
          <w:tcPr>
            <w:tcW w:w="1421"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05"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54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w:t>
            </w:r>
          </w:p>
        </w:tc>
        <w:tc>
          <w:tcPr>
            <w:tcW w:w="58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8</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787.2</w:t>
            </w:r>
          </w:p>
        </w:tc>
        <w:tc>
          <w:tcPr>
            <w:tcW w:w="62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8</w:t>
            </w:r>
            <w:r>
              <w:rPr>
                <w:rFonts w:ascii="Sylfaen" w:eastAsia="Times New Roman" w:hAnsi="Sylfaen" w:cs="Calibri"/>
                <w:bCs/>
                <w:color w:val="000000"/>
                <w:sz w:val="18"/>
                <w:szCs w:val="18"/>
                <w:lang w:val="ka-GE"/>
              </w:rPr>
              <w:t>5,370.7</w:t>
            </w:r>
          </w:p>
        </w:tc>
        <w:tc>
          <w:tcPr>
            <w:tcW w:w="62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9</w:t>
            </w:r>
            <w:r>
              <w:rPr>
                <w:rFonts w:ascii="Sylfaen" w:eastAsia="Times New Roman" w:hAnsi="Sylfaen" w:cs="Calibri"/>
                <w:bCs/>
                <w:color w:val="000000"/>
                <w:sz w:val="18"/>
                <w:szCs w:val="18"/>
                <w:lang w:val="ka-GE"/>
              </w:rPr>
              <w:t>2,328.4</w:t>
            </w:r>
          </w:p>
        </w:tc>
        <w:tc>
          <w:tcPr>
            <w:tcW w:w="62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853.1</w:t>
            </w:r>
          </w:p>
        </w:tc>
        <w:tc>
          <w:tcPr>
            <w:tcW w:w="702" w:type="pct"/>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107,991.2</w:t>
            </w:r>
          </w:p>
        </w:tc>
      </w:tr>
    </w:tbl>
    <w:p w:rsidR="00B82AC2" w:rsidRDefault="00B82AC2" w:rsidP="00B82AC2">
      <w:pPr>
        <w:pStyle w:val="NoSpacing"/>
        <w:spacing w:line="276" w:lineRule="auto"/>
        <w:jc w:val="both"/>
        <w:rPr>
          <w:rFonts w:ascii="Sylfaen" w:hAnsi="Sylfaen"/>
          <w:lang w:val="ka-GE"/>
        </w:rPr>
      </w:pPr>
    </w:p>
    <w:p w:rsidR="00B82AC2" w:rsidRDefault="00B82AC2" w:rsidP="00B82AC2">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Pr>
          <w:rFonts w:ascii="Sylfaen" w:hAnsi="Sylfaen"/>
          <w:color w:val="000000" w:themeColor="text1"/>
        </w:rPr>
        <w:t>2</w:t>
      </w:r>
      <w:r w:rsidRPr="00B21B51">
        <w:rPr>
          <w:rFonts w:ascii="Sylfaen" w:hAnsi="Sylfaen"/>
          <w:color w:val="000000" w:themeColor="text1"/>
          <w:lang w:val="ka-GE"/>
        </w:rPr>
        <w:t>2 წლის ნომინალური მშპ-ს ფაქტობრივი მნიშვნელობა მშპ-ს წინა პროგნოზს (202</w:t>
      </w:r>
      <w:r>
        <w:rPr>
          <w:rFonts w:ascii="Sylfaen" w:hAnsi="Sylfaen"/>
          <w:color w:val="000000" w:themeColor="text1"/>
        </w:rPr>
        <w:t>2</w:t>
      </w:r>
      <w:r w:rsidRPr="00B21B51">
        <w:rPr>
          <w:rFonts w:ascii="Sylfaen" w:hAnsi="Sylfaen"/>
          <w:color w:val="000000" w:themeColor="text1"/>
          <w:lang w:val="ka-GE"/>
        </w:rPr>
        <w:t xml:space="preserve"> წლის დეკემბერი) </w:t>
      </w:r>
      <w:r>
        <w:rPr>
          <w:rFonts w:ascii="Sylfaen" w:hAnsi="Sylfaen"/>
          <w:color w:val="000000" w:themeColor="text1"/>
          <w:lang w:val="ka-GE"/>
        </w:rPr>
        <w:t xml:space="preserve">ჩამოუვარდება, რაც გარკვეულწილად </w:t>
      </w:r>
      <w:r w:rsidRPr="00B21B51">
        <w:rPr>
          <w:rFonts w:ascii="Sylfaen" w:hAnsi="Sylfaen"/>
          <w:color w:val="000000" w:themeColor="text1"/>
          <w:lang w:val="ka-GE"/>
        </w:rPr>
        <w:t xml:space="preserve">გამოწვეულია მშპ-ს დეფლატორის მოსალოდნელზე </w:t>
      </w:r>
      <w:r>
        <w:rPr>
          <w:rFonts w:ascii="Sylfaen" w:hAnsi="Sylfaen"/>
          <w:color w:val="000000" w:themeColor="text1"/>
          <w:lang w:val="ka-GE"/>
        </w:rPr>
        <w:t>დაბალი</w:t>
      </w:r>
      <w:r w:rsidRPr="00B21B51">
        <w:rPr>
          <w:rFonts w:ascii="Sylfaen" w:hAnsi="Sylfaen"/>
          <w:color w:val="000000" w:themeColor="text1"/>
          <w:lang w:val="ka-GE"/>
        </w:rPr>
        <w:t xml:space="preserve"> </w:t>
      </w:r>
      <w:r>
        <w:rPr>
          <w:rFonts w:ascii="Sylfaen" w:hAnsi="Sylfaen"/>
          <w:color w:val="000000" w:themeColor="text1"/>
          <w:lang w:val="ka-GE"/>
        </w:rPr>
        <w:t>ზრდით</w:t>
      </w:r>
      <w:r w:rsidRPr="00B21B51">
        <w:rPr>
          <w:rFonts w:ascii="Sylfaen" w:hAnsi="Sylfaen"/>
          <w:color w:val="000000" w:themeColor="text1"/>
          <w:lang w:val="ka-GE"/>
        </w:rPr>
        <w:t>. ამასთან, ზოგადი ფასების დონის</w:t>
      </w:r>
      <w:r>
        <w:rPr>
          <w:rFonts w:ascii="Sylfaen" w:hAnsi="Sylfaen"/>
          <w:color w:val="000000" w:themeColor="text1"/>
          <w:lang w:val="ka-GE"/>
        </w:rPr>
        <w:t xml:space="preserve"> ნაკლები ტემპით</w:t>
      </w:r>
      <w:r w:rsidRPr="00B21B51">
        <w:rPr>
          <w:rFonts w:ascii="Sylfaen" w:hAnsi="Sylfaen"/>
          <w:color w:val="000000" w:themeColor="text1"/>
          <w:lang w:val="ka-GE"/>
        </w:rPr>
        <w:t xml:space="preserve"> ზრდის</w:t>
      </w:r>
      <w:r>
        <w:rPr>
          <w:rFonts w:ascii="Sylfaen" w:hAnsi="Sylfaen"/>
          <w:color w:val="000000" w:themeColor="text1"/>
          <w:lang w:val="ka-GE"/>
        </w:rPr>
        <w:t xml:space="preserve"> (გარკვეული სასაქონლო კატეგორიების შემთხვევაში კლებაც ფიქსირდება)</w:t>
      </w:r>
      <w:r w:rsidRPr="00B21B51">
        <w:rPr>
          <w:rFonts w:ascii="Sylfaen" w:hAnsi="Sylfaen"/>
          <w:color w:val="000000" w:themeColor="text1"/>
          <w:lang w:val="ka-GE"/>
        </w:rPr>
        <w:t xml:space="preserve"> შედეგად, 202</w:t>
      </w:r>
      <w:r>
        <w:rPr>
          <w:rFonts w:ascii="Sylfaen" w:hAnsi="Sylfaen"/>
          <w:color w:val="000000" w:themeColor="text1"/>
          <w:lang w:val="ka-GE"/>
        </w:rPr>
        <w:t>3</w:t>
      </w:r>
      <w:r w:rsidRPr="00B21B51">
        <w:rPr>
          <w:rFonts w:ascii="Sylfaen" w:hAnsi="Sylfaen"/>
          <w:color w:val="000000" w:themeColor="text1"/>
          <w:lang w:val="ka-GE"/>
        </w:rPr>
        <w:t xml:space="preserve"> წელს </w:t>
      </w:r>
      <w:r>
        <w:rPr>
          <w:rFonts w:ascii="Sylfaen" w:hAnsi="Sylfaen"/>
          <w:color w:val="000000" w:themeColor="text1"/>
          <w:lang w:val="ka-GE"/>
        </w:rPr>
        <w:t>2022 წლის დეკემბრის პროგნოზთან შედარებით შემცირებულია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პროგნოზიც</w:t>
      </w:r>
      <w:r w:rsidRPr="00B21B51">
        <w:rPr>
          <w:rFonts w:ascii="Sylfaen" w:hAnsi="Sylfaen"/>
          <w:color w:val="000000" w:themeColor="text1"/>
          <w:lang w:val="ka-GE"/>
        </w:rPr>
        <w:t xml:space="preserve">. </w:t>
      </w:r>
      <w:r>
        <w:rPr>
          <w:rFonts w:ascii="Sylfaen" w:hAnsi="Sylfaen"/>
          <w:color w:val="000000" w:themeColor="text1"/>
          <w:lang w:val="ka-GE"/>
        </w:rPr>
        <w:t>მიუხედავად იმისა, რომ</w:t>
      </w:r>
      <w:r w:rsidRPr="00B21B51">
        <w:rPr>
          <w:rFonts w:ascii="Sylfaen" w:hAnsi="Sylfaen"/>
          <w:color w:val="000000" w:themeColor="text1"/>
          <w:lang w:val="ka-GE"/>
        </w:rPr>
        <w:t xml:space="preserve"> მიმდინარე ტენდენციებისა და დაფიქსირებული მაღალი ეკონომიკური აქტივობის ფონზე</w:t>
      </w:r>
      <w:r>
        <w:rPr>
          <w:rFonts w:ascii="Sylfaen" w:hAnsi="Sylfaen"/>
          <w:color w:val="000000" w:themeColor="text1"/>
          <w:lang w:val="ka-GE"/>
        </w:rPr>
        <w:t>,</w:t>
      </w:r>
      <w:r w:rsidRPr="00B21B51">
        <w:rPr>
          <w:rFonts w:ascii="Sylfaen" w:hAnsi="Sylfaen"/>
          <w:color w:val="000000" w:themeColor="text1"/>
          <w:lang w:val="ka-GE"/>
        </w:rPr>
        <w:t xml:space="preserve"> 202</w:t>
      </w:r>
      <w:r>
        <w:rPr>
          <w:rFonts w:ascii="Sylfaen" w:hAnsi="Sylfaen"/>
          <w:color w:val="000000" w:themeColor="text1"/>
          <w:lang w:val="ka-GE"/>
        </w:rPr>
        <w:t>3</w:t>
      </w:r>
      <w:r w:rsidRPr="00B21B51">
        <w:rPr>
          <w:rFonts w:ascii="Sylfaen" w:hAnsi="Sylfaen"/>
          <w:color w:val="000000" w:themeColor="text1"/>
          <w:lang w:val="ka-GE"/>
        </w:rPr>
        <w:t xml:space="preserve"> წლის რეალური მშპ-ს ზრდის ახალი პროგნოზი</w:t>
      </w:r>
      <w:r>
        <w:rPr>
          <w:rFonts w:ascii="Sylfaen" w:hAnsi="Sylfaen"/>
          <w:color w:val="000000" w:themeColor="text1"/>
          <w:lang w:val="ka-GE"/>
        </w:rPr>
        <w:t xml:space="preserve"> აღემატება 2022 წლის პროგნოზს, დეფლატორის შემცირებული საპროგნოზო მაჩვენებელების გამო შემცირებუ</w:t>
      </w:r>
      <w:r w:rsidRPr="00B21B51">
        <w:rPr>
          <w:rFonts w:ascii="Sylfaen" w:hAnsi="Sylfaen"/>
          <w:color w:val="000000" w:themeColor="text1"/>
          <w:lang w:val="ka-GE"/>
        </w:rPr>
        <w:t>ლია ნომინალური მშპ-ს პროგნოზიც როგორც 202</w:t>
      </w:r>
      <w:r>
        <w:rPr>
          <w:rFonts w:ascii="Sylfaen" w:hAnsi="Sylfaen"/>
          <w:color w:val="000000" w:themeColor="text1"/>
          <w:lang w:val="ka-GE"/>
        </w:rPr>
        <w:t>3</w:t>
      </w:r>
      <w:r w:rsidRPr="00B21B51">
        <w:rPr>
          <w:rFonts w:ascii="Sylfaen" w:hAnsi="Sylfaen"/>
          <w:color w:val="000000" w:themeColor="text1"/>
          <w:lang w:val="ka-GE"/>
        </w:rPr>
        <w:t xml:space="preserve"> წლისთვის, ისე </w:t>
      </w:r>
      <w:r>
        <w:rPr>
          <w:rFonts w:ascii="Sylfaen" w:hAnsi="Sylfaen"/>
          <w:color w:val="000000" w:themeColor="text1"/>
          <w:lang w:val="ka-GE"/>
        </w:rPr>
        <w:t xml:space="preserve">- </w:t>
      </w:r>
      <w:r w:rsidRPr="00B21B51">
        <w:rPr>
          <w:rFonts w:ascii="Sylfaen" w:hAnsi="Sylfaen"/>
          <w:color w:val="000000" w:themeColor="text1"/>
          <w:lang w:val="ka-GE"/>
        </w:rPr>
        <w:t xml:space="preserve">საშუალოვადიანი პერიოდისათვის. </w:t>
      </w:r>
    </w:p>
    <w:p w:rsidR="00B82AC2" w:rsidRPr="00B21B51" w:rsidRDefault="00B82AC2" w:rsidP="00B82AC2">
      <w:pPr>
        <w:spacing w:after="0" w:line="276" w:lineRule="auto"/>
        <w:ind w:firstLine="567"/>
        <w:jc w:val="both"/>
        <w:rPr>
          <w:rFonts w:ascii="Sylfaen" w:hAnsi="Sylfaen"/>
          <w:color w:val="000000" w:themeColor="text1"/>
          <w:lang w:val="ka-GE"/>
        </w:rPr>
      </w:pPr>
    </w:p>
    <w:p w:rsidR="00B82AC2" w:rsidRDefault="00B82AC2" w:rsidP="00B82AC2">
      <w:pPr>
        <w:pStyle w:val="NoSpacing"/>
        <w:spacing w:line="276" w:lineRule="auto"/>
        <w:ind w:firstLine="567"/>
        <w:jc w:val="both"/>
        <w:rPr>
          <w:rFonts w:ascii="Sylfaen" w:eastAsia="Times New Roman" w:hAnsi="Sylfaen" w:cs="Calibri"/>
          <w:b/>
          <w:bCs/>
          <w:color w:val="000000"/>
          <w:sz w:val="20"/>
          <w:szCs w:val="20"/>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5000"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111"/>
        <w:gridCol w:w="846"/>
        <w:gridCol w:w="1476"/>
        <w:gridCol w:w="1476"/>
        <w:gridCol w:w="1476"/>
        <w:gridCol w:w="1476"/>
        <w:gridCol w:w="1476"/>
      </w:tblGrid>
      <w:tr w:rsidR="00B82AC2" w:rsidRPr="00B05A47" w:rsidTr="00D02123">
        <w:trPr>
          <w:trHeight w:val="113"/>
          <w:jc w:val="center"/>
        </w:trPr>
        <w:tc>
          <w:tcPr>
            <w:tcW w:w="1021" w:type="pct"/>
            <w:vMerge w:val="restart"/>
            <w:shd w:val="clear" w:color="auto" w:fill="auto"/>
            <w:vAlign w:val="center"/>
            <w:hideMark/>
          </w:tcPr>
          <w:p w:rsidR="00B82AC2" w:rsidRPr="00B05A47" w:rsidRDefault="00B82AC2" w:rsidP="00D02123">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409"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c>
          <w:tcPr>
            <w:tcW w:w="714" w:type="pct"/>
          </w:tcPr>
          <w:p w:rsidR="00B82AC2" w:rsidRPr="00D225FA" w:rsidRDefault="00B82AC2" w:rsidP="00D0212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2027</w:t>
            </w:r>
          </w:p>
        </w:tc>
      </w:tr>
      <w:tr w:rsidR="00B82AC2" w:rsidRPr="00B05A47" w:rsidTr="00D02123">
        <w:trPr>
          <w:trHeight w:val="113"/>
          <w:jc w:val="center"/>
        </w:trPr>
        <w:tc>
          <w:tcPr>
            <w:tcW w:w="1021" w:type="pct"/>
            <w:vMerge/>
            <w:vAlign w:val="center"/>
            <w:hideMark/>
          </w:tcPr>
          <w:p w:rsidR="00B82AC2" w:rsidRPr="00B05A47" w:rsidRDefault="00B82AC2" w:rsidP="00D02123">
            <w:pPr>
              <w:spacing w:after="0" w:line="240" w:lineRule="auto"/>
              <w:rPr>
                <w:rFonts w:ascii="Sylfaen" w:eastAsia="Times New Roman" w:hAnsi="Sylfaen" w:cs="Arial"/>
                <w:b/>
                <w:bCs/>
                <w:color w:val="000000"/>
                <w:sz w:val="18"/>
                <w:szCs w:val="18"/>
              </w:rPr>
            </w:pPr>
          </w:p>
        </w:tc>
        <w:tc>
          <w:tcPr>
            <w:tcW w:w="409"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lang w:val="ka-GE"/>
              </w:rPr>
              <w:t>ფაქტი</w:t>
            </w:r>
          </w:p>
        </w:tc>
        <w:tc>
          <w:tcPr>
            <w:tcW w:w="714" w:type="pct"/>
            <w:shd w:val="clear" w:color="auto" w:fill="auto"/>
            <w:vAlign w:val="center"/>
            <w:hideMark/>
          </w:tcPr>
          <w:p w:rsidR="00B82AC2" w:rsidRPr="00D225FA" w:rsidRDefault="00B82AC2" w:rsidP="00D0212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მოსალ.</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tcPr>
          <w:p w:rsidR="00B82AC2" w:rsidRPr="00D225FA" w:rsidRDefault="00B82AC2" w:rsidP="00D0212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პროგნოზი</w:t>
            </w: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409"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1</w:t>
            </w:r>
            <w:r>
              <w:rPr>
                <w:rFonts w:ascii="Sylfaen" w:eastAsia="Times New Roman" w:hAnsi="Sylfaen" w:cs="Arial"/>
                <w:color w:val="000000"/>
                <w:sz w:val="18"/>
                <w:szCs w:val="18"/>
                <w:lang w:val="ka-GE"/>
              </w:rPr>
              <w:t>9,</w:t>
            </w: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17.</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20,</w:t>
            </w:r>
            <w:r w:rsidRPr="00B05A47">
              <w:rPr>
                <w:rFonts w:ascii="Sylfaen" w:eastAsia="Times New Roman" w:hAnsi="Sylfaen" w:cs="Arial"/>
                <w:color w:val="000000"/>
                <w:sz w:val="18"/>
                <w:szCs w:val="18"/>
              </w:rPr>
              <w:t>8</w:t>
            </w:r>
            <w:r>
              <w:rPr>
                <w:rFonts w:ascii="Sylfaen" w:eastAsia="Times New Roman" w:hAnsi="Sylfaen" w:cs="Arial"/>
                <w:color w:val="000000"/>
                <w:sz w:val="18"/>
                <w:szCs w:val="18"/>
                <w:lang w:val="ka-GE"/>
              </w:rPr>
              <w:t>05.</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22,0</w:t>
            </w:r>
            <w:r w:rsidRPr="00B05A47">
              <w:rPr>
                <w:rFonts w:ascii="Sylfaen" w:eastAsia="Times New Roman" w:hAnsi="Sylfaen" w:cs="Arial"/>
                <w:color w:val="000000"/>
                <w:sz w:val="18"/>
                <w:szCs w:val="18"/>
              </w:rPr>
              <w:t>7</w:t>
            </w:r>
            <w:r>
              <w:rPr>
                <w:rFonts w:ascii="Sylfaen" w:eastAsia="Times New Roman" w:hAnsi="Sylfaen" w:cs="Arial"/>
                <w:color w:val="000000"/>
                <w:sz w:val="18"/>
                <w:szCs w:val="18"/>
                <w:lang w:val="ka-GE"/>
              </w:rPr>
              <w:t>6.</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3,794.</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D225FA" w:rsidRDefault="00B82AC2" w:rsidP="00D02123">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25,704.0</w:t>
            </w:r>
          </w:p>
        </w:tc>
        <w:tc>
          <w:tcPr>
            <w:tcW w:w="714" w:type="pct"/>
          </w:tcPr>
          <w:p w:rsidR="00B82AC2" w:rsidRPr="00B05A47" w:rsidRDefault="00B82AC2" w:rsidP="00D02123">
            <w:pPr>
              <w:spacing w:after="0" w:line="240" w:lineRule="auto"/>
              <w:jc w:val="center"/>
              <w:rPr>
                <w:rFonts w:ascii="Calibri" w:eastAsia="Times New Roman" w:hAnsi="Calibri"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409"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19</w:t>
            </w:r>
            <w:r>
              <w:rPr>
                <w:rFonts w:ascii="Sylfaen" w:hAnsi="Sylfaen"/>
                <w:sz w:val="18"/>
                <w:lang w:val="ka-GE"/>
              </w:rPr>
              <w:t>,37</w:t>
            </w:r>
            <w:r w:rsidRPr="007C3878">
              <w:rPr>
                <w:rFonts w:ascii="Sylfaen" w:hAnsi="Sylfaen"/>
                <w:sz w:val="18"/>
              </w:rPr>
              <w:t>7</w:t>
            </w:r>
            <w:r>
              <w:rPr>
                <w:rFonts w:ascii="Sylfaen" w:hAnsi="Sylfaen"/>
                <w:sz w:val="18"/>
                <w:lang w:val="ka-GE"/>
              </w:rPr>
              <w:t>.</w:t>
            </w:r>
            <w:r>
              <w:rPr>
                <w:rFonts w:ascii="Sylfaen" w:hAnsi="Sylfaen"/>
                <w:sz w:val="18"/>
              </w:rPr>
              <w:t>6</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1,640.</w:t>
            </w:r>
            <w:r w:rsidRPr="0056170B">
              <w:rPr>
                <w:rFonts w:ascii="Sylfaen" w:hAnsi="Sylfaen"/>
                <w:sz w:val="18"/>
              </w:rPr>
              <w:t>0</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B1FDE">
              <w:rPr>
                <w:rFonts w:ascii="Sylfaen" w:hAnsi="Sylfaen"/>
                <w:sz w:val="18"/>
              </w:rPr>
              <w:t>2</w:t>
            </w:r>
            <w:r>
              <w:rPr>
                <w:rFonts w:ascii="Sylfaen" w:hAnsi="Sylfaen"/>
                <w:sz w:val="18"/>
                <w:lang w:val="ka-GE"/>
              </w:rPr>
              <w:t>3,522.</w:t>
            </w:r>
            <w:r w:rsidRPr="0056170B">
              <w:rPr>
                <w:rFonts w:ascii="Sylfaen" w:hAnsi="Sylfaen"/>
                <w:sz w:val="18"/>
              </w:rPr>
              <w:t>0</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5</w:t>
            </w:r>
            <w:r w:rsidRPr="007B1FDE">
              <w:rPr>
                <w:rFonts w:ascii="Sylfaen" w:hAnsi="Sylfaen"/>
                <w:sz w:val="18"/>
              </w:rPr>
              <w:t>,</w:t>
            </w:r>
            <w:r>
              <w:rPr>
                <w:rFonts w:ascii="Sylfaen" w:hAnsi="Sylfaen"/>
                <w:sz w:val="18"/>
                <w:lang w:val="ka-GE"/>
              </w:rPr>
              <w:t>270.</w:t>
            </w:r>
            <w:r w:rsidRPr="0056170B">
              <w:rPr>
                <w:rFonts w:ascii="Sylfaen" w:hAnsi="Sylfaen"/>
                <w:sz w:val="18"/>
              </w:rPr>
              <w:t>0</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7,153.</w:t>
            </w:r>
            <w:r w:rsidRPr="0056170B">
              <w:rPr>
                <w:rFonts w:ascii="Sylfaen" w:hAnsi="Sylfaen"/>
                <w:sz w:val="18"/>
              </w:rPr>
              <w:t>0</w:t>
            </w:r>
          </w:p>
        </w:tc>
        <w:tc>
          <w:tcPr>
            <w:tcW w:w="714" w:type="pct"/>
          </w:tcPr>
          <w:p w:rsidR="00B82AC2" w:rsidRPr="00D225FA" w:rsidRDefault="00B82AC2" w:rsidP="00D02123">
            <w:pPr>
              <w:spacing w:after="0" w:line="240" w:lineRule="auto"/>
              <w:jc w:val="center"/>
              <w:rPr>
                <w:rFonts w:ascii="Sylfaen" w:hAnsi="Sylfaen"/>
                <w:sz w:val="18"/>
                <w:lang w:val="ka-GE"/>
              </w:rPr>
            </w:pPr>
            <w:r>
              <w:rPr>
                <w:rFonts w:ascii="Sylfaen" w:hAnsi="Sylfaen"/>
                <w:sz w:val="18"/>
                <w:lang w:val="ka-GE"/>
              </w:rPr>
              <w:t>29,190.0</w:t>
            </w: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409"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 xml:space="preserve"> </w:t>
            </w:r>
            <w:r>
              <w:rPr>
                <w:rFonts w:ascii="Sylfaen" w:hAnsi="Sylfaen"/>
                <w:sz w:val="18"/>
                <w:lang w:val="ka-GE"/>
              </w:rPr>
              <w:t>16</w:t>
            </w:r>
            <w:r w:rsidRPr="007C3878">
              <w:rPr>
                <w:rFonts w:ascii="Sylfaen" w:hAnsi="Sylfaen"/>
                <w:sz w:val="18"/>
              </w:rPr>
              <w:t>0</w:t>
            </w:r>
            <w:r>
              <w:rPr>
                <w:rFonts w:ascii="Sylfaen" w:hAnsi="Sylfaen"/>
                <w:sz w:val="18"/>
                <w:lang w:val="ka-GE"/>
              </w:rPr>
              <w:t>.</w:t>
            </w:r>
            <w:r>
              <w:rPr>
                <w:rFonts w:ascii="Sylfaen" w:hAnsi="Sylfaen"/>
                <w:sz w:val="18"/>
              </w:rPr>
              <w:t>6</w:t>
            </w:r>
          </w:p>
        </w:tc>
        <w:tc>
          <w:tcPr>
            <w:tcW w:w="714" w:type="pct"/>
            <w:shd w:val="clear" w:color="auto" w:fill="auto"/>
            <w:hideMark/>
          </w:tcPr>
          <w:p w:rsidR="00B82AC2" w:rsidRPr="004323F7" w:rsidRDefault="00B82AC2" w:rsidP="00D02123">
            <w:pPr>
              <w:spacing w:after="0" w:line="240" w:lineRule="auto"/>
              <w:jc w:val="center"/>
              <w:rPr>
                <w:rFonts w:ascii="Sylfaen" w:eastAsia="Times New Roman" w:hAnsi="Sylfaen" w:cs="Arial"/>
                <w:color w:val="000000"/>
                <w:sz w:val="18"/>
                <w:szCs w:val="18"/>
              </w:rPr>
            </w:pPr>
            <w:r>
              <w:rPr>
                <w:rFonts w:ascii="Sylfaen" w:hAnsi="Sylfaen"/>
                <w:sz w:val="18"/>
                <w:lang w:val="ka-GE"/>
              </w:rPr>
              <w:t>835.0</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Pr>
                <w:rFonts w:ascii="Sylfaen" w:hAnsi="Sylfaen"/>
                <w:sz w:val="18"/>
                <w:lang w:val="ka-GE"/>
              </w:rPr>
              <w:t>1,446.0</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Pr>
                <w:rFonts w:ascii="Sylfaen" w:hAnsi="Sylfaen"/>
                <w:sz w:val="18"/>
                <w:lang w:val="ka-GE"/>
              </w:rPr>
              <w:t>1,476.0</w:t>
            </w:r>
          </w:p>
        </w:tc>
        <w:tc>
          <w:tcPr>
            <w:tcW w:w="714" w:type="pct"/>
            <w:shd w:val="clear" w:color="auto" w:fill="auto"/>
            <w:vAlign w:val="center"/>
            <w:hideMark/>
          </w:tcPr>
          <w:p w:rsidR="00B82AC2" w:rsidRPr="00B05A47" w:rsidRDefault="00B82AC2" w:rsidP="00D02123">
            <w:pPr>
              <w:spacing w:after="0" w:line="240" w:lineRule="auto"/>
              <w:jc w:val="center"/>
              <w:rPr>
                <w:rFonts w:ascii="Calibri" w:eastAsia="Times New Roman" w:hAnsi="Calibri" w:cs="Calibri"/>
                <w:sz w:val="18"/>
                <w:szCs w:val="18"/>
              </w:rPr>
            </w:pPr>
            <w:r>
              <w:rPr>
                <w:rFonts w:ascii="Sylfaen" w:eastAsia="Times New Roman" w:hAnsi="Sylfaen" w:cs="Calibri"/>
                <w:sz w:val="18"/>
                <w:szCs w:val="18"/>
                <w:lang w:val="ka-GE"/>
              </w:rPr>
              <w:t>1,449.0</w:t>
            </w:r>
          </w:p>
        </w:tc>
        <w:tc>
          <w:tcPr>
            <w:tcW w:w="714" w:type="pct"/>
          </w:tcPr>
          <w:p w:rsidR="00B82AC2" w:rsidRPr="00B05A47" w:rsidRDefault="00B82AC2" w:rsidP="00D02123">
            <w:pPr>
              <w:spacing w:after="0" w:line="240" w:lineRule="auto"/>
              <w:jc w:val="center"/>
              <w:rPr>
                <w:rFonts w:ascii="Calibri" w:eastAsia="Times New Roman" w:hAnsi="Calibri"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409" w:type="pct"/>
            <w:shd w:val="clear" w:color="auto" w:fill="auto"/>
            <w:vAlign w:val="bottom"/>
            <w:hideMark/>
          </w:tcPr>
          <w:p w:rsidR="00B82AC2" w:rsidRPr="002F15FC" w:rsidRDefault="00B82AC2" w:rsidP="00D02123">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35.9</w:t>
            </w:r>
          </w:p>
        </w:tc>
        <w:tc>
          <w:tcPr>
            <w:tcW w:w="714" w:type="pct"/>
            <w:shd w:val="clear" w:color="auto" w:fill="auto"/>
            <w:vAlign w:val="bottom"/>
            <w:hideMark/>
          </w:tcPr>
          <w:p w:rsidR="00B82AC2" w:rsidRPr="002F15FC" w:rsidRDefault="00B82AC2" w:rsidP="00D0212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520.0</w:t>
            </w:r>
          </w:p>
        </w:tc>
        <w:tc>
          <w:tcPr>
            <w:tcW w:w="714" w:type="pct"/>
            <w:shd w:val="clear" w:color="auto" w:fill="auto"/>
            <w:vAlign w:val="bottom"/>
            <w:hideMark/>
          </w:tcPr>
          <w:p w:rsidR="00B82AC2" w:rsidRPr="002F15FC" w:rsidRDefault="00B82AC2" w:rsidP="00D0212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1,026</w:t>
            </w:r>
            <w:r w:rsidRPr="00D225FA">
              <w:rPr>
                <w:rFonts w:ascii="Sylfaen" w:hAnsi="Sylfaen" w:cs="Arial"/>
                <w:sz w:val="18"/>
                <w:szCs w:val="18"/>
              </w:rPr>
              <w:t>.0</w:t>
            </w:r>
          </w:p>
        </w:tc>
        <w:tc>
          <w:tcPr>
            <w:tcW w:w="714" w:type="pct"/>
            <w:shd w:val="clear" w:color="auto" w:fill="auto"/>
            <w:vAlign w:val="bottom"/>
            <w:hideMark/>
          </w:tcPr>
          <w:p w:rsidR="00B82AC2" w:rsidRPr="002F15FC" w:rsidRDefault="00B82AC2" w:rsidP="00D0212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1,106</w:t>
            </w:r>
            <w:r w:rsidRPr="00D225FA">
              <w:rPr>
                <w:rFonts w:ascii="Sylfaen" w:hAnsi="Sylfaen" w:cs="Arial"/>
                <w:sz w:val="18"/>
                <w:szCs w:val="18"/>
              </w:rPr>
              <w:t>.0</w:t>
            </w:r>
          </w:p>
        </w:tc>
        <w:tc>
          <w:tcPr>
            <w:tcW w:w="714" w:type="pct"/>
            <w:shd w:val="clear" w:color="auto" w:fill="auto"/>
            <w:vAlign w:val="center"/>
            <w:hideMark/>
          </w:tcPr>
          <w:p w:rsidR="00B82AC2" w:rsidRPr="00D225FA" w:rsidRDefault="00B82AC2" w:rsidP="00D02123">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1,129.0</w:t>
            </w:r>
          </w:p>
        </w:tc>
        <w:tc>
          <w:tcPr>
            <w:tcW w:w="714" w:type="pct"/>
          </w:tcPr>
          <w:p w:rsidR="00B82AC2" w:rsidRPr="00D225FA" w:rsidRDefault="00B82AC2" w:rsidP="00D02123">
            <w:pPr>
              <w:spacing w:after="0" w:line="240" w:lineRule="auto"/>
              <w:jc w:val="center"/>
              <w:rPr>
                <w:rFonts w:ascii="Sylfaen" w:eastAsia="Times New Roman" w:hAnsi="Sylfaen"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409"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21,678.0</w:t>
            </w:r>
          </w:p>
        </w:tc>
        <w:tc>
          <w:tcPr>
            <w:tcW w:w="714"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23,536.0</w:t>
            </w:r>
          </w:p>
        </w:tc>
        <w:tc>
          <w:tcPr>
            <w:tcW w:w="714"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24,274.0</w:t>
            </w:r>
          </w:p>
        </w:tc>
        <w:tc>
          <w:tcPr>
            <w:tcW w:w="714"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26,142.0</w:t>
            </w:r>
          </w:p>
        </w:tc>
        <w:tc>
          <w:tcPr>
            <w:tcW w:w="714" w:type="pct"/>
            <w:shd w:val="clear" w:color="auto" w:fill="auto"/>
            <w:vAlign w:val="bottom"/>
            <w:hideMark/>
          </w:tcPr>
          <w:p w:rsidR="00B82AC2" w:rsidRPr="00D225FA" w:rsidRDefault="00B82AC2" w:rsidP="00D02123">
            <w:pPr>
              <w:spacing w:after="0" w:line="240" w:lineRule="auto"/>
              <w:jc w:val="center"/>
              <w:rPr>
                <w:rFonts w:ascii="Sylfaen" w:eastAsia="Times New Roman" w:hAnsi="Sylfaen" w:cs="Calibri"/>
                <w:sz w:val="18"/>
                <w:szCs w:val="18"/>
              </w:rPr>
            </w:pPr>
            <w:r w:rsidRPr="00D225FA">
              <w:rPr>
                <w:rFonts w:ascii="Sylfaen" w:hAnsi="Sylfaen" w:cs="Arial"/>
                <w:bCs/>
                <w:sz w:val="18"/>
                <w:szCs w:val="18"/>
              </w:rPr>
              <w:t>28,047.0</w:t>
            </w:r>
          </w:p>
        </w:tc>
        <w:tc>
          <w:tcPr>
            <w:tcW w:w="714" w:type="pct"/>
          </w:tcPr>
          <w:p w:rsidR="00B82AC2" w:rsidRPr="00B05A47" w:rsidRDefault="00B82AC2" w:rsidP="00D02123">
            <w:pPr>
              <w:spacing w:after="0" w:line="240" w:lineRule="auto"/>
              <w:jc w:val="center"/>
              <w:rPr>
                <w:rFonts w:ascii="Calibri" w:eastAsia="Times New Roman" w:hAnsi="Calibri"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w:t>
            </w:r>
            <w:r>
              <w:rPr>
                <w:rFonts w:ascii="Sylfaen" w:eastAsia="Times New Roman" w:hAnsi="Sylfaen" w:cs="Arial"/>
                <w:color w:val="000000"/>
                <w:sz w:val="18"/>
                <w:szCs w:val="18"/>
                <w:lang w:val="ka-GE"/>
              </w:rPr>
              <w:t xml:space="preserve"> ზრდის</w:t>
            </w:r>
            <w:r w:rsidRPr="00B05A47">
              <w:rPr>
                <w:rFonts w:ascii="Sylfaen" w:eastAsia="Times New Roman" w:hAnsi="Sylfaen" w:cs="Arial"/>
                <w:color w:val="000000"/>
                <w:sz w:val="18"/>
                <w:szCs w:val="18"/>
              </w:rPr>
              <w:t xml:space="preserve"> ახალი პროგნოზი</w:t>
            </w:r>
          </w:p>
        </w:tc>
        <w:tc>
          <w:tcPr>
            <w:tcW w:w="409"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21,579.1</w:t>
            </w:r>
          </w:p>
        </w:tc>
        <w:tc>
          <w:tcPr>
            <w:tcW w:w="714"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24,320.0</w:t>
            </w:r>
          </w:p>
        </w:tc>
        <w:tc>
          <w:tcPr>
            <w:tcW w:w="714"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26,059.0</w:t>
            </w:r>
          </w:p>
        </w:tc>
        <w:tc>
          <w:tcPr>
            <w:tcW w:w="714"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27,565.0</w:t>
            </w:r>
          </w:p>
        </w:tc>
        <w:tc>
          <w:tcPr>
            <w:tcW w:w="714"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29,524.0</w:t>
            </w:r>
          </w:p>
        </w:tc>
        <w:tc>
          <w:tcPr>
            <w:tcW w:w="714" w:type="pct"/>
            <w:vAlign w:val="bottom"/>
          </w:tcPr>
          <w:p w:rsidR="00B82AC2" w:rsidRPr="00092F2E" w:rsidRDefault="00B82AC2" w:rsidP="00D02123">
            <w:pPr>
              <w:spacing w:after="0" w:line="240" w:lineRule="auto"/>
              <w:jc w:val="center"/>
              <w:rPr>
                <w:rFonts w:ascii="Sylfaen" w:hAnsi="Sylfaen"/>
                <w:sz w:val="18"/>
                <w:szCs w:val="18"/>
              </w:rPr>
            </w:pPr>
            <w:r w:rsidRPr="00BA0310">
              <w:rPr>
                <w:rFonts w:ascii="Sylfaen" w:hAnsi="Sylfaen" w:cs="Arial"/>
                <w:bCs/>
                <w:sz w:val="18"/>
                <w:szCs w:val="18"/>
              </w:rPr>
              <w:t>31</w:t>
            </w:r>
            <w:r>
              <w:rPr>
                <w:rFonts w:ascii="Sylfaen" w:hAnsi="Sylfaen" w:cs="Arial"/>
                <w:bCs/>
                <w:sz w:val="18"/>
                <w:szCs w:val="18"/>
                <w:lang w:val="ka-GE"/>
              </w:rPr>
              <w:t>,</w:t>
            </w:r>
            <w:r w:rsidRPr="00BA0310">
              <w:rPr>
                <w:rFonts w:ascii="Sylfaen" w:hAnsi="Sylfaen" w:cs="Arial"/>
                <w:bCs/>
                <w:sz w:val="18"/>
                <w:szCs w:val="18"/>
              </w:rPr>
              <w:t>600</w:t>
            </w:r>
            <w:r>
              <w:rPr>
                <w:rFonts w:ascii="Sylfaen" w:hAnsi="Sylfaen" w:cs="Arial"/>
                <w:bCs/>
                <w:sz w:val="18"/>
                <w:szCs w:val="18"/>
                <w:lang w:val="ka-GE"/>
              </w:rPr>
              <w:t>.0</w:t>
            </w: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409" w:type="pct"/>
            <w:shd w:val="clear" w:color="auto" w:fill="auto"/>
            <w:vAlign w:val="bottom"/>
            <w:hideMark/>
          </w:tcPr>
          <w:p w:rsidR="00B82AC2" w:rsidRPr="00BB5711"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-98.9</w:t>
            </w:r>
          </w:p>
        </w:tc>
        <w:tc>
          <w:tcPr>
            <w:tcW w:w="714" w:type="pct"/>
            <w:shd w:val="clear" w:color="auto" w:fill="auto"/>
            <w:vAlign w:val="bottom"/>
            <w:hideMark/>
          </w:tcPr>
          <w:p w:rsidR="00B82AC2" w:rsidRPr="00BB5711" w:rsidRDefault="00B82AC2" w:rsidP="00D02123">
            <w:pPr>
              <w:spacing w:after="0" w:line="240" w:lineRule="auto"/>
              <w:jc w:val="center"/>
              <w:rPr>
                <w:rFonts w:ascii="Sylfaen" w:eastAsia="Times New Roman" w:hAnsi="Sylfaen" w:cs="Arial"/>
                <w:bCs/>
                <w:color w:val="000000"/>
                <w:sz w:val="18"/>
                <w:szCs w:val="18"/>
              </w:rPr>
            </w:pPr>
            <w:r w:rsidRPr="00171BD1">
              <w:rPr>
                <w:rFonts w:ascii="Sylfaen" w:hAnsi="Sylfaen" w:cs="Arial"/>
                <w:bCs/>
                <w:sz w:val="18"/>
                <w:szCs w:val="18"/>
              </w:rPr>
              <w:t>784.0</w:t>
            </w:r>
          </w:p>
        </w:tc>
        <w:tc>
          <w:tcPr>
            <w:tcW w:w="714" w:type="pct"/>
            <w:shd w:val="clear" w:color="auto" w:fill="auto"/>
            <w:vAlign w:val="bottom"/>
            <w:hideMark/>
          </w:tcPr>
          <w:p w:rsidR="00B82AC2" w:rsidRPr="00BB5711" w:rsidRDefault="00B82AC2" w:rsidP="00D02123">
            <w:pPr>
              <w:spacing w:after="0" w:line="240" w:lineRule="auto"/>
              <w:jc w:val="center"/>
              <w:rPr>
                <w:rFonts w:ascii="Sylfaen" w:eastAsia="Times New Roman" w:hAnsi="Sylfaen" w:cs="Arial"/>
                <w:bCs/>
                <w:color w:val="000000"/>
                <w:sz w:val="18"/>
                <w:szCs w:val="18"/>
              </w:rPr>
            </w:pPr>
            <w:r w:rsidRPr="00171BD1">
              <w:rPr>
                <w:rFonts w:ascii="Sylfaen" w:hAnsi="Sylfaen" w:cs="Arial"/>
                <w:bCs/>
                <w:sz w:val="18"/>
                <w:szCs w:val="18"/>
              </w:rPr>
              <w:t>1,785.0</w:t>
            </w:r>
          </w:p>
        </w:tc>
        <w:tc>
          <w:tcPr>
            <w:tcW w:w="714" w:type="pct"/>
            <w:shd w:val="clear" w:color="auto" w:fill="auto"/>
            <w:vAlign w:val="bottom"/>
            <w:hideMark/>
          </w:tcPr>
          <w:p w:rsidR="00B82AC2" w:rsidRPr="00BB5711" w:rsidRDefault="00B82AC2" w:rsidP="00D02123">
            <w:pPr>
              <w:spacing w:after="0" w:line="240" w:lineRule="auto"/>
              <w:jc w:val="center"/>
              <w:rPr>
                <w:rFonts w:ascii="Sylfaen" w:eastAsia="Times New Roman" w:hAnsi="Sylfaen" w:cs="Arial"/>
                <w:bCs/>
                <w:color w:val="000000"/>
                <w:sz w:val="18"/>
                <w:szCs w:val="18"/>
              </w:rPr>
            </w:pPr>
            <w:r w:rsidRPr="00171BD1">
              <w:rPr>
                <w:rFonts w:ascii="Sylfaen" w:hAnsi="Sylfaen" w:cs="Arial"/>
                <w:bCs/>
                <w:sz w:val="18"/>
                <w:szCs w:val="18"/>
              </w:rPr>
              <w:t>1,423.0</w:t>
            </w:r>
          </w:p>
        </w:tc>
        <w:tc>
          <w:tcPr>
            <w:tcW w:w="714" w:type="pct"/>
            <w:shd w:val="clear" w:color="auto" w:fill="auto"/>
            <w:vAlign w:val="bottom"/>
            <w:hideMark/>
          </w:tcPr>
          <w:p w:rsidR="00B82AC2" w:rsidRPr="00092F2E" w:rsidRDefault="00B82AC2" w:rsidP="00D02123">
            <w:pPr>
              <w:spacing w:after="0" w:line="240" w:lineRule="auto"/>
              <w:jc w:val="center"/>
              <w:rPr>
                <w:rFonts w:ascii="Sylfaen" w:eastAsia="Times New Roman" w:hAnsi="Sylfaen" w:cs="Arial"/>
                <w:bCs/>
                <w:color w:val="000000"/>
                <w:sz w:val="18"/>
                <w:szCs w:val="18"/>
              </w:rPr>
            </w:pPr>
            <w:r w:rsidRPr="00171BD1">
              <w:rPr>
                <w:rFonts w:ascii="Sylfaen" w:hAnsi="Sylfaen" w:cs="Arial"/>
                <w:bCs/>
                <w:sz w:val="18"/>
                <w:szCs w:val="18"/>
              </w:rPr>
              <w:t>1,477.0</w:t>
            </w:r>
          </w:p>
        </w:tc>
        <w:tc>
          <w:tcPr>
            <w:tcW w:w="714" w:type="pct"/>
          </w:tcPr>
          <w:p w:rsidR="00B82AC2" w:rsidRPr="00B05A47" w:rsidRDefault="00B82AC2" w:rsidP="00D02123">
            <w:pPr>
              <w:spacing w:after="0" w:line="240" w:lineRule="auto"/>
              <w:jc w:val="center"/>
              <w:rPr>
                <w:rFonts w:ascii="Sylfaen" w:eastAsia="Times New Roman" w:hAnsi="Sylfaen" w:cs="Arial"/>
                <w:bCs/>
                <w:color w:val="000000"/>
                <w:sz w:val="18"/>
                <w:szCs w:val="18"/>
              </w:rPr>
            </w:pPr>
          </w:p>
        </w:tc>
      </w:tr>
    </w:tbl>
    <w:p w:rsidR="00B82AC2" w:rsidRDefault="00B82AC2" w:rsidP="00B82AC2">
      <w:pPr>
        <w:spacing w:after="0" w:line="276" w:lineRule="auto"/>
        <w:ind w:firstLine="567"/>
        <w:jc w:val="both"/>
        <w:rPr>
          <w:rFonts w:ascii="Sylfaen" w:hAnsi="Sylfaen"/>
          <w:lang w:val="ka-GE"/>
        </w:rPr>
      </w:pPr>
    </w:p>
    <w:p w:rsidR="00B82AC2" w:rsidRPr="00E94AC6" w:rsidRDefault="00B82AC2" w:rsidP="00B82AC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w:t>
      </w:r>
    </w:p>
    <w:p w:rsidR="00B82AC2" w:rsidRDefault="00B82AC2" w:rsidP="00B82AC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w:t>
      </w:r>
      <w:r>
        <w:rPr>
          <w:rFonts w:ascii="Sylfaen" w:hAnsi="Sylfaen"/>
          <w:color w:val="000000" w:themeColor="text1"/>
        </w:rPr>
        <w:t>2</w:t>
      </w:r>
      <w:r w:rsidRPr="00E94AC6">
        <w:rPr>
          <w:rFonts w:ascii="Sylfaen" w:hAnsi="Sylfaen"/>
          <w:color w:val="000000" w:themeColor="text1"/>
          <w:lang w:val="ka-GE"/>
        </w:rPr>
        <w:t xml:space="preserve">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xml:space="preserve">, რაც ითვალისწინებს </w:t>
      </w:r>
      <w:r w:rsidR="00EE2D86">
        <w:rPr>
          <w:rFonts w:ascii="Sylfaen" w:hAnsi="Sylfaen"/>
          <w:color w:val="000000" w:themeColor="text1"/>
          <w:lang w:val="ka-GE"/>
        </w:rPr>
        <w:t xml:space="preserve">მეტწილად ჯანდაცვის და სოციალური მიმართულებით დაგეგმილი პროგრამების ფარგლებში ბენეფიციარების ზრდიდან გამომდინარე დამატებით დაფინანსებას, ასევე ჯანდაცვის ახალი ახალი პოლიტიკის მიმართულების დაფინანსებას, რაც ასახულია 2023 წლის სახელმწიფო ბიუჯეტის ცვლილების პროექტში. გადამუშავდა 2023 წლის პროგნოზები და შესაბამისად, შემდგომი საშუალოვადიანი პერიოდის პროგნოზებიც განახლდა არსებული ტენდეციების გათვალისწინებით. </w:t>
      </w: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tbl>
      <w:tblPr>
        <w:tblW w:w="4523"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39"/>
        <w:gridCol w:w="1075"/>
        <w:gridCol w:w="1109"/>
        <w:gridCol w:w="1231"/>
        <w:gridCol w:w="1133"/>
        <w:gridCol w:w="1133"/>
        <w:gridCol w:w="1131"/>
      </w:tblGrid>
      <w:tr w:rsidR="00B82AC2" w:rsidRPr="00291443" w:rsidTr="00D02123">
        <w:trPr>
          <w:trHeight w:val="113"/>
          <w:jc w:val="center"/>
        </w:trPr>
        <w:tc>
          <w:tcPr>
            <w:tcW w:w="1357" w:type="pct"/>
            <w:shd w:val="clear" w:color="auto" w:fill="auto"/>
            <w:vAlign w:val="center"/>
          </w:tcPr>
          <w:p w:rsidR="00B82AC2" w:rsidRPr="00291443" w:rsidRDefault="00B82AC2" w:rsidP="00D0212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575"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2022 </w:t>
            </w:r>
            <w:r>
              <w:rPr>
                <w:rFonts w:ascii="Sylfaen" w:eastAsia="Times New Roman" w:hAnsi="Sylfaen" w:cs="Arial"/>
                <w:b/>
                <w:sz w:val="16"/>
                <w:szCs w:val="18"/>
                <w:lang w:val="ka-GE"/>
              </w:rPr>
              <w:t>ფაქტი</w:t>
            </w:r>
          </w:p>
        </w:tc>
        <w:tc>
          <w:tcPr>
            <w:tcW w:w="593"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2023 </w:t>
            </w:r>
            <w:r>
              <w:rPr>
                <w:rFonts w:ascii="Sylfaen" w:eastAsia="Times New Roman" w:hAnsi="Sylfaen" w:cs="Arial"/>
                <w:b/>
                <w:sz w:val="16"/>
                <w:szCs w:val="18"/>
                <w:lang w:val="ka-GE"/>
              </w:rPr>
              <w:t>მოსალ.</w:t>
            </w:r>
          </w:p>
        </w:tc>
        <w:tc>
          <w:tcPr>
            <w:tcW w:w="658"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w:t>
            </w:r>
            <w:r>
              <w:rPr>
                <w:rFonts w:ascii="Sylfaen" w:eastAsia="Times New Roman" w:hAnsi="Sylfaen" w:cs="Arial"/>
                <w:b/>
                <w:sz w:val="16"/>
                <w:szCs w:val="18"/>
                <w:lang w:val="ka-GE"/>
              </w:rPr>
              <w:t>.</w:t>
            </w:r>
          </w:p>
        </w:tc>
        <w:tc>
          <w:tcPr>
            <w:tcW w:w="606" w:type="pct"/>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w:t>
            </w:r>
            <w:r>
              <w:rPr>
                <w:rFonts w:ascii="Sylfaen" w:eastAsia="Times New Roman" w:hAnsi="Sylfaen" w:cs="Arial"/>
                <w:b/>
                <w:sz w:val="16"/>
                <w:szCs w:val="18"/>
                <w:lang w:val="ka-GE"/>
              </w:rPr>
              <w:t>.</w:t>
            </w:r>
          </w:p>
        </w:tc>
        <w:tc>
          <w:tcPr>
            <w:tcW w:w="606" w:type="pct"/>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2026 პროგნ.</w:t>
            </w:r>
          </w:p>
        </w:tc>
        <w:tc>
          <w:tcPr>
            <w:tcW w:w="605" w:type="pct"/>
            <w:vAlign w:val="center"/>
          </w:tcPr>
          <w:p w:rsidR="00B82AC2" w:rsidRPr="00092F2E" w:rsidRDefault="00B82AC2" w:rsidP="00D0212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rPr>
              <w:t xml:space="preserve">2027 </w:t>
            </w:r>
            <w:r>
              <w:rPr>
                <w:rFonts w:ascii="Sylfaen" w:eastAsia="Times New Roman" w:hAnsi="Sylfaen" w:cs="Arial"/>
                <w:b/>
                <w:sz w:val="16"/>
                <w:szCs w:val="18"/>
                <w:lang w:val="ka-GE"/>
              </w:rPr>
              <w:t>პროგნ.</w:t>
            </w:r>
          </w:p>
        </w:tc>
      </w:tr>
      <w:tr w:rsidR="00B82AC2" w:rsidRPr="00291443" w:rsidTr="00D02123">
        <w:trPr>
          <w:trHeight w:val="113"/>
          <w:jc w:val="center"/>
        </w:trPr>
        <w:tc>
          <w:tcPr>
            <w:tcW w:w="1357" w:type="pct"/>
            <w:shd w:val="clear" w:color="auto" w:fill="auto"/>
            <w:vAlign w:val="center"/>
            <w:hideMark/>
          </w:tcPr>
          <w:p w:rsidR="00B82AC2" w:rsidRPr="0056011A" w:rsidRDefault="00B82AC2" w:rsidP="00D02123">
            <w:pPr>
              <w:spacing w:after="0" w:line="240" w:lineRule="auto"/>
              <w:rPr>
                <w:rFonts w:ascii="Sylfaen" w:eastAsia="Times New Roman" w:hAnsi="Sylfaen" w:cs="Arial"/>
                <w:sz w:val="16"/>
                <w:szCs w:val="18"/>
              </w:rPr>
            </w:pPr>
            <w:r w:rsidRPr="007E0FBA">
              <w:rPr>
                <w:rFonts w:ascii="Sylfaen" w:eastAsia="Times New Roman" w:hAnsi="Sylfaen" w:cs="Arial"/>
                <w:sz w:val="16"/>
                <w:szCs w:val="18"/>
              </w:rPr>
              <w:t>2023-2026</w:t>
            </w:r>
            <w:r w:rsidRPr="007E0FBA">
              <w:rPr>
                <w:rFonts w:ascii="Sylfaen" w:eastAsia="Times New Roman" w:hAnsi="Sylfaen" w:cs="Arial"/>
                <w:sz w:val="16"/>
                <w:szCs w:val="18"/>
                <w:lang w:val="ka-GE"/>
              </w:rPr>
              <w:t xml:space="preserve"> წლების</w:t>
            </w:r>
            <w:r w:rsidRPr="0056011A">
              <w:rPr>
                <w:rFonts w:ascii="Sylfaen" w:eastAsia="Times New Roman" w:hAnsi="Sylfaen" w:cs="Arial"/>
                <w:sz w:val="16"/>
                <w:szCs w:val="18"/>
              </w:rPr>
              <w:t xml:space="preserve"> </w:t>
            </w:r>
            <w:r w:rsidRPr="00D225FA">
              <w:rPr>
                <w:rFonts w:ascii="Sylfaen" w:eastAsia="Times New Roman" w:hAnsi="Sylfaen" w:cs="Calibri"/>
                <w:color w:val="000000"/>
                <w:sz w:val="16"/>
              </w:rPr>
              <w:t>წინა პ</w:t>
            </w:r>
            <w:r w:rsidRPr="00D225FA">
              <w:rPr>
                <w:rFonts w:ascii="Sylfaen" w:eastAsia="Times New Roman" w:hAnsi="Sylfaen" w:cs="Calibri"/>
                <w:color w:val="000000"/>
                <w:sz w:val="16"/>
                <w:lang w:val="ka-GE"/>
              </w:rPr>
              <w:t>რ</w:t>
            </w:r>
            <w:r w:rsidRPr="00D225FA">
              <w:rPr>
                <w:rFonts w:ascii="Sylfaen" w:eastAsia="Times New Roman" w:hAnsi="Sylfaen" w:cs="Calibri"/>
                <w:color w:val="000000"/>
                <w:sz w:val="16"/>
              </w:rPr>
              <w:t>ოგნოზი (202</w:t>
            </w:r>
            <w:r w:rsidRPr="00D225FA">
              <w:rPr>
                <w:rFonts w:ascii="Sylfaen" w:eastAsia="Times New Roman" w:hAnsi="Sylfaen" w:cs="Calibri"/>
                <w:color w:val="000000"/>
                <w:sz w:val="16"/>
                <w:lang w:val="ka-GE"/>
              </w:rPr>
              <w:t>2</w:t>
            </w:r>
            <w:r w:rsidRPr="00D225FA">
              <w:rPr>
                <w:rFonts w:ascii="Sylfaen" w:eastAsia="Times New Roman" w:hAnsi="Sylfaen" w:cs="Calibri"/>
                <w:color w:val="000000"/>
                <w:sz w:val="16"/>
              </w:rPr>
              <w:t xml:space="preserve"> </w:t>
            </w:r>
            <w:r w:rsidRPr="00D225FA">
              <w:rPr>
                <w:rFonts w:ascii="Sylfaen" w:eastAsia="Times New Roman" w:hAnsi="Sylfaen" w:cs="Calibri"/>
                <w:color w:val="000000"/>
                <w:sz w:val="16"/>
                <w:lang w:val="ka-GE"/>
              </w:rPr>
              <w:t>წლის დეკემბერი)</w:t>
            </w:r>
          </w:p>
        </w:tc>
        <w:tc>
          <w:tcPr>
            <w:tcW w:w="575"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-2.2%</w:t>
            </w:r>
          </w:p>
        </w:tc>
        <w:tc>
          <w:tcPr>
            <w:tcW w:w="605" w:type="pct"/>
            <w:vAlign w:val="center"/>
          </w:tcPr>
          <w:p w:rsidR="00B82AC2" w:rsidRPr="00092F2E" w:rsidRDefault="00B82AC2" w:rsidP="00D02123">
            <w:pPr>
              <w:spacing w:after="0" w:line="240" w:lineRule="auto"/>
              <w:jc w:val="center"/>
              <w:rPr>
                <w:rFonts w:ascii="Sylfaen" w:hAnsi="Sylfaen" w:cs="Arial"/>
                <w:bCs/>
                <w:sz w:val="18"/>
                <w:szCs w:val="18"/>
              </w:rPr>
            </w:pPr>
          </w:p>
        </w:tc>
      </w:tr>
      <w:tr w:rsidR="00B82AC2" w:rsidRPr="00291443" w:rsidTr="00D02123">
        <w:trPr>
          <w:trHeight w:val="113"/>
          <w:jc w:val="center"/>
        </w:trPr>
        <w:tc>
          <w:tcPr>
            <w:tcW w:w="1357" w:type="pct"/>
            <w:shd w:val="clear" w:color="auto" w:fill="auto"/>
            <w:vAlign w:val="center"/>
            <w:hideMark/>
          </w:tcPr>
          <w:p w:rsidR="00B82AC2" w:rsidRPr="00291443" w:rsidRDefault="00B82AC2" w:rsidP="00D0212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w:t>
            </w:r>
            <w:r>
              <w:rPr>
                <w:rFonts w:ascii="Sylfaen" w:eastAsia="Times New Roman" w:hAnsi="Sylfaen" w:cs="Arial"/>
                <w:sz w:val="16"/>
                <w:szCs w:val="18"/>
              </w:rPr>
              <w:t>3</w:t>
            </w:r>
            <w:r w:rsidRPr="00291443">
              <w:rPr>
                <w:rFonts w:ascii="Sylfaen" w:eastAsia="Times New Roman" w:hAnsi="Sylfaen" w:cs="Arial"/>
                <w:sz w:val="16"/>
                <w:szCs w:val="18"/>
              </w:rPr>
              <w:t>-202</w:t>
            </w:r>
            <w:r>
              <w:rPr>
                <w:rFonts w:ascii="Sylfaen" w:eastAsia="Times New Roman" w:hAnsi="Sylfaen" w:cs="Arial"/>
                <w:sz w:val="16"/>
                <w:szCs w:val="18"/>
              </w:rPr>
              <w:t>7</w:t>
            </w:r>
            <w:r w:rsidRPr="00291443">
              <w:rPr>
                <w:rFonts w:ascii="Sylfaen" w:eastAsia="Times New Roman" w:hAnsi="Sylfaen" w:cs="Arial"/>
                <w:sz w:val="16"/>
                <w:szCs w:val="18"/>
              </w:rPr>
              <w:t xml:space="preserve">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575"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-2.5%</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lang w:val="ka-GE"/>
              </w:rPr>
            </w:pPr>
            <w:r w:rsidRPr="00D225FA">
              <w:rPr>
                <w:rFonts w:ascii="Sylfaen" w:hAnsi="Sylfaen" w:cs="Arial"/>
                <w:bCs/>
                <w:sz w:val="18"/>
                <w:szCs w:val="18"/>
              </w:rPr>
              <w:t>-2.2%</w:t>
            </w:r>
          </w:p>
        </w:tc>
        <w:tc>
          <w:tcPr>
            <w:tcW w:w="605" w:type="pct"/>
            <w:vAlign w:val="center"/>
          </w:tcPr>
          <w:p w:rsidR="00B82AC2" w:rsidRPr="007E0FBA" w:rsidRDefault="00B82AC2" w:rsidP="00D02123">
            <w:pPr>
              <w:spacing w:after="0" w:line="240" w:lineRule="auto"/>
              <w:jc w:val="center"/>
              <w:rPr>
                <w:rFonts w:ascii="Sylfaen" w:hAnsi="Sylfaen" w:cs="Arial"/>
                <w:bCs/>
                <w:sz w:val="18"/>
                <w:szCs w:val="18"/>
              </w:rPr>
            </w:pPr>
            <w:r>
              <w:rPr>
                <w:rFonts w:ascii="Sylfaen" w:hAnsi="Sylfaen" w:cs="Arial"/>
                <w:bCs/>
                <w:sz w:val="18"/>
                <w:szCs w:val="18"/>
              </w:rPr>
              <w:t xml:space="preserve">-2.1% </w:t>
            </w:r>
          </w:p>
        </w:tc>
      </w:tr>
    </w:tbl>
    <w:p w:rsidR="00B82AC2" w:rsidRDefault="00B82AC2" w:rsidP="00B82AC2">
      <w:pPr>
        <w:rPr>
          <w:rFonts w:ascii="Sylfaen" w:hAnsi="Sylfaen"/>
          <w:b/>
          <w:color w:val="000000" w:themeColor="text1"/>
          <w:lang w:val="ka-GE"/>
        </w:rPr>
      </w:pPr>
    </w:p>
    <w:p w:rsidR="00B82AC2" w:rsidRPr="00A1653A" w:rsidDel="00166AB5" w:rsidRDefault="00B82AC2" w:rsidP="00B82AC2">
      <w:pPr>
        <w:rPr>
          <w:rFonts w:ascii="Sylfaen" w:hAnsi="Sylfaen"/>
          <w:color w:val="FF0000"/>
          <w:sz w:val="20"/>
          <w:szCs w:val="20"/>
          <w:lang w:val="ka-GE"/>
        </w:rPr>
      </w:pPr>
      <w:proofErr w:type="gramStart"/>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ილი</w:t>
      </w:r>
      <w:proofErr w:type="gramEnd"/>
      <w:r w:rsidRPr="00FF2ED8">
        <w:rPr>
          <w:rFonts w:ascii="Sylfaen" w:eastAsia="Times New Roman" w:hAnsi="Sylfaen" w:cs="Calibri"/>
          <w:b/>
          <w:bCs/>
          <w:color w:val="000000" w:themeColor="text1"/>
          <w:sz w:val="20"/>
          <w:szCs w:val="20"/>
          <w:lang w:val="ka-GE"/>
        </w:rPr>
        <w:t xml:space="preserve">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w:t>
      </w:r>
      <w:r w:rsidRPr="00F0521D">
        <w:rPr>
          <w:rFonts w:ascii="Sylfaen" w:eastAsia="Times New Roman" w:hAnsi="Sylfaen" w:cs="Calibri"/>
          <w:b/>
          <w:bCs/>
          <w:color w:val="000000" w:themeColor="text1"/>
          <w:sz w:val="20"/>
          <w:szCs w:val="20"/>
          <w:lang w:val="ka-GE"/>
        </w:rPr>
        <w:t>მიმდინარე ანგარიშის ბალანსი</w:t>
      </w:r>
    </w:p>
    <w:tbl>
      <w:tblPr>
        <w:tblW w:w="10144" w:type="dxa"/>
        <w:tblInd w:w="-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544"/>
        <w:gridCol w:w="1289"/>
        <w:gridCol w:w="1338"/>
        <w:gridCol w:w="1122"/>
        <w:gridCol w:w="1122"/>
        <w:gridCol w:w="945"/>
        <w:gridCol w:w="784"/>
      </w:tblGrid>
      <w:tr w:rsidR="00B82AC2" w:rsidRPr="00C9780C" w:rsidTr="00D02123">
        <w:trPr>
          <w:trHeight w:val="106"/>
          <w:tblHeader/>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1289"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338"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45"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84" w:type="dxa"/>
            <w:vAlign w:val="center"/>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2027</w:t>
            </w:r>
          </w:p>
        </w:tc>
      </w:tr>
      <w:tr w:rsidR="00B82AC2" w:rsidRPr="00C9780C" w:rsidTr="00D02123">
        <w:trPr>
          <w:trHeight w:val="106"/>
          <w:tblHeader/>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1289"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ფაქტი</w:t>
            </w:r>
          </w:p>
        </w:tc>
        <w:tc>
          <w:tcPr>
            <w:tcW w:w="1338"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მოსალ</w:t>
            </w:r>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45"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784" w:type="dxa"/>
            <w:vAlign w:val="center"/>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პროგნ.</w:t>
            </w:r>
          </w:p>
        </w:tc>
      </w:tr>
      <w:tr w:rsidR="00B82AC2" w:rsidRPr="00C9780C" w:rsidTr="00D02123">
        <w:trPr>
          <w:trHeight w:val="106"/>
        </w:trPr>
        <w:tc>
          <w:tcPr>
            <w:tcW w:w="3544" w:type="dxa"/>
            <w:shd w:val="clear" w:color="auto" w:fill="auto"/>
            <w:noWrap/>
            <w:vAlign w:val="center"/>
            <w:hideMark/>
          </w:tcPr>
          <w:p w:rsidR="00B82AC2" w:rsidRPr="00573B92" w:rsidRDefault="00B82AC2" w:rsidP="00D0212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289"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-1403.0</w:t>
            </w:r>
          </w:p>
        </w:tc>
        <w:tc>
          <w:tcPr>
            <w:tcW w:w="1338"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-1887.0</w:t>
            </w:r>
          </w:p>
        </w:tc>
        <w:tc>
          <w:tcPr>
            <w:tcW w:w="1122"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-1774.8</w:t>
            </w:r>
          </w:p>
        </w:tc>
        <w:tc>
          <w:tcPr>
            <w:tcW w:w="1122"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-1682.7</w:t>
            </w:r>
          </w:p>
        </w:tc>
        <w:tc>
          <w:tcPr>
            <w:tcW w:w="945"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-1546.4</w:t>
            </w:r>
          </w:p>
        </w:tc>
        <w:tc>
          <w:tcPr>
            <w:tcW w:w="784" w:type="dxa"/>
            <w:vAlign w:val="center"/>
          </w:tcPr>
          <w:p w:rsidR="00B82AC2" w:rsidRPr="00225C05" w:rsidRDefault="00B82AC2" w:rsidP="00D02123">
            <w:pPr>
              <w:spacing w:after="0" w:line="240" w:lineRule="auto"/>
              <w:jc w:val="center"/>
              <w:rPr>
                <w:rFonts w:ascii="Sylfaen" w:eastAsia="Times New Roman" w:hAnsi="Sylfaen" w:cs="Calibri"/>
                <w:b/>
                <w:bCs/>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289" w:type="dxa"/>
            <w:shd w:val="clear" w:color="auto" w:fill="auto"/>
            <w:noWrap/>
            <w:vAlign w:val="center"/>
            <w:hideMark/>
          </w:tcPr>
          <w:p w:rsidR="00B82AC2" w:rsidRPr="00397B06" w:rsidRDefault="00B82AC2" w:rsidP="00D02123">
            <w:pPr>
              <w:spacing w:after="0" w:line="240" w:lineRule="auto"/>
              <w:jc w:val="center"/>
              <w:rPr>
                <w:rFonts w:ascii="Sylfaen" w:eastAsia="Times New Roman" w:hAnsi="Sylfaen" w:cs="Calibri"/>
                <w:b/>
                <w:bCs/>
                <w:color w:val="000000"/>
                <w:sz w:val="18"/>
                <w:szCs w:val="18"/>
              </w:rPr>
            </w:pPr>
            <w:r w:rsidRPr="00D225FA">
              <w:rPr>
                <w:rFonts w:ascii="Sylfaen" w:hAnsi="Sylfaen" w:cs="Arial"/>
                <w:sz w:val="18"/>
                <w:szCs w:val="18"/>
              </w:rPr>
              <w:t>391.7</w:t>
            </w:r>
          </w:p>
        </w:tc>
        <w:tc>
          <w:tcPr>
            <w:tcW w:w="1338" w:type="dxa"/>
            <w:shd w:val="clear" w:color="auto" w:fill="auto"/>
            <w:noWrap/>
            <w:vAlign w:val="center"/>
            <w:hideMark/>
          </w:tcPr>
          <w:p w:rsidR="00B82AC2" w:rsidRPr="00397B06" w:rsidRDefault="00B82AC2" w:rsidP="00D02123">
            <w:pPr>
              <w:spacing w:after="0" w:line="240" w:lineRule="auto"/>
              <w:jc w:val="center"/>
              <w:rPr>
                <w:rFonts w:ascii="Sylfaen" w:eastAsia="Times New Roman" w:hAnsi="Sylfaen" w:cs="Calibri"/>
                <w:b/>
                <w:bCs/>
                <w:color w:val="000000"/>
                <w:sz w:val="18"/>
                <w:szCs w:val="18"/>
              </w:rPr>
            </w:pPr>
            <w:r w:rsidRPr="00171BD1">
              <w:rPr>
                <w:rFonts w:ascii="Sylfaen" w:hAnsi="Sylfaen" w:cs="Arial"/>
                <w:bCs/>
                <w:sz w:val="18"/>
                <w:szCs w:val="18"/>
              </w:rPr>
              <w:t>837.3</w:t>
            </w:r>
          </w:p>
        </w:tc>
        <w:tc>
          <w:tcPr>
            <w:tcW w:w="1122" w:type="dxa"/>
            <w:shd w:val="clear" w:color="auto" w:fill="auto"/>
            <w:noWrap/>
            <w:vAlign w:val="center"/>
            <w:hideMark/>
          </w:tcPr>
          <w:p w:rsidR="00B82AC2" w:rsidRPr="00397B06" w:rsidRDefault="00B82AC2" w:rsidP="00D02123">
            <w:pPr>
              <w:spacing w:after="0" w:line="240" w:lineRule="auto"/>
              <w:jc w:val="center"/>
              <w:rPr>
                <w:rFonts w:ascii="Sylfaen" w:eastAsia="Times New Roman" w:hAnsi="Sylfaen" w:cs="Calibri"/>
                <w:b/>
                <w:bCs/>
                <w:color w:val="000000"/>
                <w:sz w:val="18"/>
                <w:szCs w:val="18"/>
              </w:rPr>
            </w:pPr>
            <w:r w:rsidRPr="00171BD1">
              <w:rPr>
                <w:rFonts w:ascii="Sylfaen" w:hAnsi="Sylfaen" w:cs="Arial"/>
                <w:bCs/>
                <w:sz w:val="18"/>
                <w:szCs w:val="18"/>
              </w:rPr>
              <w:t>314.1</w:t>
            </w:r>
          </w:p>
        </w:tc>
        <w:tc>
          <w:tcPr>
            <w:tcW w:w="1122" w:type="dxa"/>
            <w:shd w:val="clear" w:color="auto" w:fill="auto"/>
            <w:noWrap/>
            <w:vAlign w:val="bottom"/>
            <w:hideMark/>
          </w:tcPr>
          <w:p w:rsidR="00B82AC2" w:rsidRPr="00397B06" w:rsidRDefault="00B82AC2" w:rsidP="00D02123">
            <w:pPr>
              <w:spacing w:after="0" w:line="240" w:lineRule="auto"/>
              <w:jc w:val="center"/>
              <w:rPr>
                <w:rFonts w:ascii="Sylfaen" w:eastAsia="Times New Roman" w:hAnsi="Sylfaen" w:cs="Calibri"/>
                <w:b/>
                <w:bCs/>
                <w:color w:val="000000"/>
                <w:sz w:val="18"/>
                <w:szCs w:val="18"/>
                <w:lang w:val="ka-GE"/>
              </w:rPr>
            </w:pPr>
            <w:r w:rsidRPr="00171BD1">
              <w:rPr>
                <w:rFonts w:ascii="Sylfaen" w:hAnsi="Sylfaen" w:cs="Arial"/>
                <w:bCs/>
                <w:sz w:val="18"/>
                <w:szCs w:val="18"/>
              </w:rPr>
              <w:t>126.7</w:t>
            </w:r>
          </w:p>
        </w:tc>
        <w:tc>
          <w:tcPr>
            <w:tcW w:w="945" w:type="dxa"/>
            <w:shd w:val="clear" w:color="auto" w:fill="auto"/>
            <w:noWrap/>
            <w:vAlign w:val="center"/>
            <w:hideMark/>
          </w:tcPr>
          <w:p w:rsidR="00B82AC2" w:rsidRPr="00397B06" w:rsidRDefault="00B82AC2" w:rsidP="00D02123">
            <w:pPr>
              <w:spacing w:after="0" w:line="240" w:lineRule="auto"/>
              <w:jc w:val="center"/>
              <w:rPr>
                <w:rFonts w:ascii="Sylfaen" w:eastAsia="Times New Roman" w:hAnsi="Sylfaen" w:cs="Calibri"/>
                <w:b/>
                <w:bCs/>
                <w:color w:val="000000"/>
                <w:sz w:val="18"/>
                <w:szCs w:val="18"/>
              </w:rPr>
            </w:pPr>
            <w:r w:rsidRPr="00171BD1">
              <w:rPr>
                <w:rFonts w:ascii="Sylfaen" w:hAnsi="Sylfaen" w:cs="Arial"/>
                <w:bCs/>
                <w:sz w:val="18"/>
                <w:szCs w:val="18"/>
              </w:rPr>
              <w:t>-11.1</w:t>
            </w:r>
          </w:p>
        </w:tc>
        <w:tc>
          <w:tcPr>
            <w:tcW w:w="784" w:type="dxa"/>
            <w:vAlign w:val="center"/>
          </w:tcPr>
          <w:p w:rsidR="00B82AC2" w:rsidRPr="00225C05" w:rsidRDefault="00B82AC2" w:rsidP="00D02123">
            <w:pPr>
              <w:spacing w:after="0" w:line="240" w:lineRule="auto"/>
              <w:jc w:val="center"/>
              <w:rPr>
                <w:rFonts w:ascii="Sylfaen" w:eastAsia="Times New Roman" w:hAnsi="Sylfaen" w:cs="Calibri"/>
                <w:b/>
                <w:bCs/>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1289" w:type="dxa"/>
            <w:shd w:val="clear" w:color="auto" w:fill="auto"/>
            <w:noWrap/>
            <w:vAlign w:val="center"/>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411.5</w:t>
            </w:r>
          </w:p>
        </w:tc>
        <w:tc>
          <w:tcPr>
            <w:tcW w:w="1338"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434.1</w:t>
            </w:r>
          </w:p>
        </w:tc>
        <w:tc>
          <w:tcPr>
            <w:tcW w:w="1122"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349.0</w:t>
            </w:r>
          </w:p>
        </w:tc>
        <w:tc>
          <w:tcPr>
            <w:tcW w:w="1122"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357.8</w:t>
            </w:r>
          </w:p>
        </w:tc>
        <w:tc>
          <w:tcPr>
            <w:tcW w:w="945" w:type="dxa"/>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szCs w:val="18"/>
                <w:lang w:val="ka-GE"/>
              </w:rPr>
            </w:pPr>
            <w:r w:rsidRPr="00171BD1">
              <w:rPr>
                <w:rFonts w:ascii="Sylfaen" w:hAnsi="Sylfaen" w:cs="Arial"/>
                <w:bCs/>
                <w:sz w:val="18"/>
                <w:szCs w:val="18"/>
              </w:rPr>
              <w:t>321.6</w:t>
            </w:r>
          </w:p>
        </w:tc>
        <w:tc>
          <w:tcPr>
            <w:tcW w:w="784" w:type="dxa"/>
            <w:vAlign w:val="center"/>
          </w:tcPr>
          <w:p w:rsidR="00B82AC2" w:rsidRPr="004323F7" w:rsidRDefault="00B82AC2" w:rsidP="00D02123">
            <w:pPr>
              <w:spacing w:after="0" w:line="240" w:lineRule="auto"/>
              <w:jc w:val="center"/>
              <w:rPr>
                <w:rFonts w:ascii="Sylfaen" w:eastAsia="Times New Roman" w:hAnsi="Sylfaen" w:cs="Calibri"/>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1289" w:type="dxa"/>
            <w:shd w:val="clear" w:color="auto" w:fill="auto"/>
            <w:noWrap/>
            <w:vAlign w:val="center"/>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-600.1</w:t>
            </w:r>
          </w:p>
        </w:tc>
        <w:tc>
          <w:tcPr>
            <w:tcW w:w="1338"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-665.3</w:t>
            </w:r>
          </w:p>
        </w:tc>
        <w:tc>
          <w:tcPr>
            <w:tcW w:w="1122"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-811.1</w:t>
            </w:r>
          </w:p>
        </w:tc>
        <w:tc>
          <w:tcPr>
            <w:tcW w:w="1122"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-881.3</w:t>
            </w:r>
          </w:p>
        </w:tc>
        <w:tc>
          <w:tcPr>
            <w:tcW w:w="945" w:type="dxa"/>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szCs w:val="18"/>
                <w:lang w:val="ka-GE"/>
              </w:rPr>
            </w:pPr>
            <w:r w:rsidRPr="00171BD1">
              <w:rPr>
                <w:rFonts w:ascii="Sylfaen" w:hAnsi="Sylfaen" w:cs="Arial"/>
                <w:bCs/>
                <w:sz w:val="18"/>
                <w:szCs w:val="18"/>
              </w:rPr>
              <w:t>-951.9</w:t>
            </w:r>
          </w:p>
        </w:tc>
        <w:tc>
          <w:tcPr>
            <w:tcW w:w="784" w:type="dxa"/>
            <w:vAlign w:val="center"/>
          </w:tcPr>
          <w:p w:rsidR="00B82AC2" w:rsidRPr="00C9780C" w:rsidRDefault="00B82AC2" w:rsidP="00D02123">
            <w:pPr>
              <w:spacing w:after="0" w:line="240" w:lineRule="auto"/>
              <w:jc w:val="center"/>
              <w:rPr>
                <w:rFonts w:ascii="Sylfaen" w:eastAsia="Times New Roman" w:hAnsi="Sylfaen" w:cs="Calibri"/>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1289" w:type="dxa"/>
            <w:shd w:val="clear" w:color="auto" w:fill="auto"/>
            <w:noWrap/>
            <w:vAlign w:val="center"/>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580.3</w:t>
            </w:r>
          </w:p>
        </w:tc>
        <w:tc>
          <w:tcPr>
            <w:tcW w:w="1338"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1068.5</w:t>
            </w:r>
          </w:p>
        </w:tc>
        <w:tc>
          <w:tcPr>
            <w:tcW w:w="1122"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lang w:val="ka-GE"/>
              </w:rPr>
            </w:pPr>
            <w:r w:rsidRPr="00171BD1">
              <w:rPr>
                <w:rFonts w:ascii="Sylfaen" w:hAnsi="Sylfaen" w:cs="Arial"/>
                <w:bCs/>
                <w:sz w:val="18"/>
                <w:szCs w:val="18"/>
              </w:rPr>
              <w:t>776.2</w:t>
            </w:r>
          </w:p>
        </w:tc>
        <w:tc>
          <w:tcPr>
            <w:tcW w:w="1122" w:type="dxa"/>
            <w:shd w:val="clear" w:color="auto" w:fill="auto"/>
            <w:noWrap/>
            <w:vAlign w:val="bottom"/>
            <w:hideMark/>
          </w:tcPr>
          <w:p w:rsidR="00B82AC2" w:rsidRPr="001E45C9" w:rsidRDefault="00B82AC2" w:rsidP="00D02123">
            <w:pPr>
              <w:spacing w:after="0" w:line="240" w:lineRule="auto"/>
              <w:jc w:val="center"/>
              <w:rPr>
                <w:rFonts w:ascii="Sylfaen" w:eastAsia="Times New Roman" w:hAnsi="Sylfaen" w:cs="Calibri"/>
                <w:color w:val="000000"/>
                <w:sz w:val="18"/>
                <w:szCs w:val="18"/>
              </w:rPr>
            </w:pPr>
            <w:r w:rsidRPr="00171BD1">
              <w:rPr>
                <w:rFonts w:ascii="Sylfaen" w:hAnsi="Sylfaen" w:cs="Arial"/>
                <w:bCs/>
                <w:sz w:val="18"/>
                <w:szCs w:val="18"/>
              </w:rPr>
              <w:t>650.2</w:t>
            </w:r>
          </w:p>
        </w:tc>
        <w:tc>
          <w:tcPr>
            <w:tcW w:w="945" w:type="dxa"/>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szCs w:val="18"/>
                <w:lang w:val="ka-GE"/>
              </w:rPr>
            </w:pPr>
            <w:r w:rsidRPr="00171BD1">
              <w:rPr>
                <w:rFonts w:ascii="Sylfaen" w:hAnsi="Sylfaen" w:cs="Arial"/>
                <w:bCs/>
                <w:sz w:val="18"/>
                <w:szCs w:val="18"/>
              </w:rPr>
              <w:t>619.2</w:t>
            </w:r>
          </w:p>
        </w:tc>
        <w:tc>
          <w:tcPr>
            <w:tcW w:w="784" w:type="dxa"/>
            <w:vAlign w:val="center"/>
          </w:tcPr>
          <w:p w:rsidR="00B82AC2" w:rsidRPr="00C9780C" w:rsidRDefault="00B82AC2" w:rsidP="00D02123">
            <w:pPr>
              <w:spacing w:after="0" w:line="240" w:lineRule="auto"/>
              <w:jc w:val="center"/>
              <w:rPr>
                <w:rFonts w:ascii="Sylfaen" w:eastAsia="Times New Roman" w:hAnsi="Sylfaen" w:cs="Calibri"/>
                <w:color w:val="000000"/>
                <w:sz w:val="18"/>
                <w:szCs w:val="18"/>
              </w:rPr>
            </w:pPr>
          </w:p>
        </w:tc>
      </w:tr>
      <w:tr w:rsidR="00B82AC2" w:rsidRPr="00317A29" w:rsidTr="00D02123">
        <w:trPr>
          <w:trHeight w:val="106"/>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1289"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-1011.3</w:t>
            </w:r>
          </w:p>
        </w:tc>
        <w:tc>
          <w:tcPr>
            <w:tcW w:w="1338"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171BD1">
              <w:rPr>
                <w:rFonts w:ascii="Sylfaen" w:hAnsi="Sylfaen" w:cs="Arial"/>
                <w:bCs/>
                <w:sz w:val="18"/>
                <w:szCs w:val="18"/>
              </w:rPr>
              <w:t>-1049.7</w:t>
            </w:r>
          </w:p>
        </w:tc>
        <w:tc>
          <w:tcPr>
            <w:tcW w:w="1122"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171BD1">
              <w:rPr>
                <w:rFonts w:ascii="Sylfaen" w:hAnsi="Sylfaen" w:cs="Arial"/>
                <w:bCs/>
                <w:sz w:val="18"/>
                <w:szCs w:val="18"/>
              </w:rPr>
              <w:t>-1460.7</w:t>
            </w:r>
          </w:p>
        </w:tc>
        <w:tc>
          <w:tcPr>
            <w:tcW w:w="1122"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171BD1">
              <w:rPr>
                <w:rFonts w:ascii="Sylfaen" w:hAnsi="Sylfaen" w:cs="Arial"/>
                <w:bCs/>
                <w:sz w:val="18"/>
                <w:szCs w:val="18"/>
              </w:rPr>
              <w:t>-1556.0</w:t>
            </w:r>
          </w:p>
        </w:tc>
        <w:tc>
          <w:tcPr>
            <w:tcW w:w="945"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lang w:val="ka-GE"/>
              </w:rPr>
            </w:pPr>
            <w:r w:rsidRPr="00171BD1">
              <w:rPr>
                <w:rFonts w:ascii="Sylfaen" w:hAnsi="Sylfaen" w:cs="Arial"/>
                <w:bCs/>
                <w:sz w:val="18"/>
                <w:szCs w:val="18"/>
              </w:rPr>
              <w:t>-1557.5</w:t>
            </w:r>
          </w:p>
        </w:tc>
        <w:tc>
          <w:tcPr>
            <w:tcW w:w="784" w:type="dxa"/>
            <w:vAlign w:val="center"/>
          </w:tcPr>
          <w:p w:rsidR="00B82AC2" w:rsidRPr="00D225FA" w:rsidRDefault="00B82AC2" w:rsidP="00D02123">
            <w:pPr>
              <w:spacing w:after="0" w:line="240" w:lineRule="auto"/>
              <w:jc w:val="center"/>
              <w:rPr>
                <w:rFonts w:ascii="Sylfaen" w:hAnsi="Sylfaen"/>
                <w:sz w:val="18"/>
                <w:szCs w:val="18"/>
              </w:rPr>
            </w:pPr>
            <w:r w:rsidRPr="00171BD1">
              <w:rPr>
                <w:rFonts w:ascii="Sylfaen" w:hAnsi="Sylfaen" w:cs="Arial"/>
                <w:bCs/>
                <w:sz w:val="18"/>
                <w:szCs w:val="18"/>
              </w:rPr>
              <w:t>-1581.0</w:t>
            </w:r>
          </w:p>
        </w:tc>
      </w:tr>
    </w:tbl>
    <w:p w:rsidR="00B82AC2" w:rsidRPr="00C9780C" w:rsidRDefault="00B82AC2" w:rsidP="00B82AC2">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w:t>
      </w:r>
      <w:r>
        <w:rPr>
          <w:rFonts w:ascii="Sylfaen" w:hAnsi="Sylfaen"/>
          <w:lang w:val="ka-GE"/>
        </w:rPr>
        <w:t xml:space="preserve"> დოლარებში</w:t>
      </w:r>
      <w:r w:rsidRPr="00C9780C">
        <w:rPr>
          <w:rFonts w:ascii="Sylfaen" w:hAnsi="Sylfaen"/>
          <w:lang w:val="ka-GE"/>
        </w:rPr>
        <w:t>, საპროგნოზო მაჩვენებლები</w:t>
      </w:r>
      <w:r>
        <w:rPr>
          <w:rFonts w:ascii="Sylfaen" w:hAnsi="Sylfaen"/>
          <w:lang w:val="ka-GE"/>
        </w:rPr>
        <w:t xml:space="preserve"> უფრო მეტად არის გაუმჯობესებული 2023-2025 წლებისთვის, ხოლო 2026 წლისთვის უმნიშვნელოდ გაუარესებულია. გაუმჯობესებული მიმდინარე ანგარიშის პროგნოზი საქონლისა და მომსახურების ბალანსის გაუმჯობესებით (ძირითადად ტურიზმის ზრდის ხარჯზე) არის გამოწვეული, ასევე მნიშვნელოვნად არის გაუმჯობესებული ტრანსფერებიდან მიღებული შემოსავლებიც, რაც ზრდის მეორად შემოსავალს, ძირითადად კერძო სექტორის მხრიდან. რაც შეეხება პირველად შემოსავალს, მოსალოდნელია მისი შემცირება, ვიდრე - 2022 წლის დეკემბერში იყო მოსალოდნელი.  </w:t>
      </w:r>
    </w:p>
    <w:p w:rsidR="00B82AC2" w:rsidRDefault="00B82AC2" w:rsidP="00B82AC2">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2024 წლისთვის გამოწვეულია, ერთი მხრივ, წმინდა ექსპორტით, რაც ძირითადად მომსახურებით ვაჭრობის დადებით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 რაც ძირითადი წყარო აღმოჩნდა პროგნოზის გაზრდის მიმართულებით.</w:t>
      </w:r>
    </w:p>
    <w:p w:rsidR="00F844D7" w:rsidRPr="000314F1" w:rsidRDefault="00F844D7" w:rsidP="00F844D7">
      <w:pPr>
        <w:rPr>
          <w:rFonts w:ascii="Sylfaen" w:hAnsi="Sylfaen"/>
          <w:highlight w:val="yellow"/>
          <w:lang w:val="ka-GE"/>
        </w:rPr>
      </w:pPr>
      <w:r w:rsidRPr="000314F1">
        <w:rPr>
          <w:rFonts w:ascii="Sylfaen" w:hAnsi="Sylfaen"/>
          <w:highlight w:val="yellow"/>
          <w:lang w:val="ka-GE"/>
        </w:rPr>
        <w:br w:type="page"/>
      </w:r>
    </w:p>
    <w:p w:rsidR="00CD7313" w:rsidRPr="000314F1" w:rsidRDefault="00CD7313" w:rsidP="00CD7313">
      <w:pPr>
        <w:rPr>
          <w:rFonts w:ascii="Sylfaen" w:hAnsi="Sylfaen"/>
          <w:highlight w:val="yellow"/>
          <w:lang w:val="ka-GE"/>
        </w:rPr>
      </w:pPr>
    </w:p>
    <w:p w:rsidR="007B6E63" w:rsidRPr="00D707E6" w:rsidRDefault="007B6E63" w:rsidP="00EF56BC">
      <w:pPr>
        <w:pStyle w:val="Heading1"/>
        <w:numPr>
          <w:ilvl w:val="0"/>
          <w:numId w:val="1"/>
        </w:numPr>
        <w:rPr>
          <w:b/>
          <w:sz w:val="28"/>
          <w:lang w:val="ka-GE"/>
        </w:rPr>
      </w:pPr>
      <w:bookmarkStart w:id="1" w:name="_Toc89118360"/>
      <w:r w:rsidRPr="00D707E6">
        <w:rPr>
          <w:b/>
          <w:sz w:val="28"/>
          <w:lang w:val="ka-GE"/>
        </w:rPr>
        <w:t>ფისკალური ჩარჩო</w:t>
      </w:r>
      <w:r w:rsidR="00370834" w:rsidRPr="00D707E6">
        <w:rPr>
          <w:b/>
          <w:sz w:val="28"/>
          <w:lang w:val="ka-GE"/>
        </w:rPr>
        <w:t xml:space="preserve"> და ფისკალური </w:t>
      </w:r>
      <w:r w:rsidR="00EF56BC" w:rsidRPr="00D707E6">
        <w:rPr>
          <w:b/>
          <w:sz w:val="28"/>
          <w:lang w:val="ka-GE"/>
        </w:rPr>
        <w:t>წესებთან შესაბამისობა</w:t>
      </w:r>
      <w:bookmarkEnd w:id="1"/>
    </w:p>
    <w:p w:rsidR="0067395F" w:rsidRPr="00D707E6" w:rsidRDefault="0067395F" w:rsidP="0067395F">
      <w:pPr>
        <w:rPr>
          <w:rFonts w:ascii="Sylfaen" w:hAnsi="Sylfaen"/>
          <w:lang w:val="ka-GE"/>
        </w:rPr>
      </w:pPr>
    </w:p>
    <w:p w:rsidR="0067395F" w:rsidRPr="00D707E6" w:rsidRDefault="0067395F" w:rsidP="0067395F">
      <w:pPr>
        <w:pStyle w:val="Heading2"/>
        <w:ind w:left="1080"/>
        <w:rPr>
          <w:rFonts w:ascii="Sylfaen" w:hAnsi="Sylfaen"/>
          <w:lang w:val="ka-GE"/>
        </w:rPr>
      </w:pPr>
      <w:bookmarkStart w:id="2" w:name="_Toc89118361"/>
      <w:r w:rsidRPr="00D707E6">
        <w:rPr>
          <w:rFonts w:ascii="Sylfaen" w:hAnsi="Sylfaen"/>
          <w:lang w:val="ka-GE"/>
        </w:rPr>
        <w:t>2.1 ფისკალური ჩარჩოს შედარება</w:t>
      </w:r>
      <w:bookmarkEnd w:id="2"/>
    </w:p>
    <w:p w:rsidR="00AD738A" w:rsidRPr="00D707E6" w:rsidRDefault="00AD738A" w:rsidP="00C8711F">
      <w:pPr>
        <w:jc w:val="right"/>
        <w:rPr>
          <w:rFonts w:ascii="Sylfaen" w:hAnsi="Sylfaen"/>
          <w:b/>
          <w:i/>
          <w:sz w:val="18"/>
          <w:u w:val="single"/>
        </w:rPr>
      </w:pPr>
    </w:p>
    <w:p w:rsidR="007716A2" w:rsidRPr="00D707E6" w:rsidRDefault="007716A2" w:rsidP="007716A2">
      <w:pPr>
        <w:spacing w:after="0"/>
        <w:ind w:firstLine="709"/>
        <w:jc w:val="both"/>
        <w:rPr>
          <w:rFonts w:ascii="Sylfaen" w:hAnsi="Sylfaen"/>
        </w:rPr>
      </w:pPr>
      <w:r w:rsidRPr="00D707E6">
        <w:rPr>
          <w:rFonts w:ascii="Sylfaen" w:hAnsi="Sylfaen"/>
          <w:lang w:val="ka-GE"/>
        </w:rPr>
        <w:t>ფისკალური ჩარჩოს შედარება მოიცავს 2020 წელს მომზადებული 2021-2024 წლის ქვეყნის ძირითადი მონაცემების და მიმართულებების დოკუმენტით განსაზღვრული პროგნოზების შედარებას 2021</w:t>
      </w:r>
      <w:r w:rsidR="00D707E6">
        <w:rPr>
          <w:rFonts w:ascii="Sylfaen" w:hAnsi="Sylfaen"/>
          <w:lang w:val="ka-GE"/>
        </w:rPr>
        <w:t xml:space="preserve"> წლის ბოლოს</w:t>
      </w:r>
      <w:r w:rsidRPr="00D707E6">
        <w:rPr>
          <w:rFonts w:ascii="Sylfaen" w:hAnsi="Sylfaen"/>
          <w:lang w:val="ka-GE"/>
        </w:rPr>
        <w:t>, 2022 წლ</w:t>
      </w:r>
      <w:r w:rsidR="00D707E6">
        <w:rPr>
          <w:rFonts w:ascii="Sylfaen" w:hAnsi="Sylfaen"/>
          <w:lang w:val="ka-GE"/>
        </w:rPr>
        <w:t>ი</w:t>
      </w:r>
      <w:r w:rsidRPr="00D707E6">
        <w:rPr>
          <w:rFonts w:ascii="Sylfaen" w:hAnsi="Sylfaen"/>
          <w:lang w:val="ka-GE"/>
        </w:rPr>
        <w:t>ს</w:t>
      </w:r>
      <w:r w:rsidR="00D707E6">
        <w:rPr>
          <w:rFonts w:ascii="Sylfaen" w:hAnsi="Sylfaen"/>
          <w:lang w:val="ka-GE"/>
        </w:rPr>
        <w:t xml:space="preserve"> ბოლოს, </w:t>
      </w:r>
      <w:r w:rsidRPr="00D707E6">
        <w:rPr>
          <w:rFonts w:ascii="Sylfaen" w:hAnsi="Sylfaen"/>
          <w:lang w:val="ka-GE"/>
        </w:rPr>
        <w:t xml:space="preserve">მიმდინარე </w:t>
      </w:r>
      <w:r w:rsidR="00D707E6">
        <w:rPr>
          <w:rFonts w:ascii="Sylfaen" w:hAnsi="Sylfaen"/>
          <w:lang w:val="ka-GE"/>
        </w:rPr>
        <w:t>წ</w:t>
      </w:r>
      <w:r w:rsidRPr="00D707E6">
        <w:rPr>
          <w:rFonts w:ascii="Sylfaen" w:hAnsi="Sylfaen"/>
          <w:lang w:val="ka-GE"/>
        </w:rPr>
        <w:t>ლ</w:t>
      </w:r>
      <w:r w:rsidR="00D707E6">
        <w:rPr>
          <w:rFonts w:ascii="Sylfaen" w:hAnsi="Sylfaen"/>
          <w:lang w:val="ka-GE"/>
        </w:rPr>
        <w:t>ი</w:t>
      </w:r>
      <w:r w:rsidRPr="00D707E6">
        <w:rPr>
          <w:rFonts w:ascii="Sylfaen" w:hAnsi="Sylfaen"/>
          <w:lang w:val="ka-GE"/>
        </w:rPr>
        <w:t xml:space="preserve">ს </w:t>
      </w:r>
      <w:r w:rsidR="00D707E6">
        <w:rPr>
          <w:rFonts w:ascii="Sylfaen" w:hAnsi="Sylfaen"/>
          <w:lang w:val="ka-GE"/>
        </w:rPr>
        <w:t xml:space="preserve">ივლისში </w:t>
      </w:r>
      <w:r w:rsidR="00B96C23">
        <w:rPr>
          <w:rFonts w:ascii="Sylfaen" w:hAnsi="Sylfaen"/>
          <w:lang w:val="ka-GE"/>
        </w:rPr>
        <w:t xml:space="preserve">მომზადებულ </w:t>
      </w:r>
      <w:r w:rsidR="00D707E6">
        <w:rPr>
          <w:rFonts w:ascii="Sylfaen" w:hAnsi="Sylfaen"/>
          <w:lang w:val="ka-GE"/>
        </w:rPr>
        <w:t xml:space="preserve">და „საქართველოს 2024 წლის სახელმწიფო ბიუჯეტის შესახებ“ საქართველოს კანონის პროექტზე </w:t>
      </w:r>
      <w:r w:rsidR="00B96C23">
        <w:rPr>
          <w:rFonts w:ascii="Sylfaen" w:hAnsi="Sylfaen"/>
          <w:lang w:val="ka-GE"/>
        </w:rPr>
        <w:t>თანდართულ</w:t>
      </w:r>
      <w:r w:rsidR="00D707E6">
        <w:rPr>
          <w:rFonts w:ascii="Sylfaen" w:hAnsi="Sylfaen"/>
          <w:lang w:val="ka-GE"/>
        </w:rPr>
        <w:t xml:space="preserve"> </w:t>
      </w:r>
      <w:r w:rsidR="00B96C23">
        <w:rPr>
          <w:rFonts w:ascii="Sylfaen" w:hAnsi="Sylfaen"/>
          <w:lang w:val="ka-GE"/>
        </w:rPr>
        <w:t>განახლებულ საშუალოვადიან</w:t>
      </w:r>
      <w:r w:rsidR="00D707E6">
        <w:rPr>
          <w:rFonts w:ascii="Sylfaen" w:hAnsi="Sylfaen"/>
          <w:lang w:val="ka-GE"/>
        </w:rPr>
        <w:t xml:space="preserve"> პროგნოზებ</w:t>
      </w:r>
      <w:r w:rsidR="00B96C23">
        <w:rPr>
          <w:rFonts w:ascii="Sylfaen" w:hAnsi="Sylfaen"/>
          <w:lang w:val="ka-GE"/>
        </w:rPr>
        <w:t>თან</w:t>
      </w:r>
      <w:r w:rsidRPr="00D707E6">
        <w:rPr>
          <w:rFonts w:ascii="Sylfaen" w:hAnsi="Sylfaen"/>
          <w:lang w:val="ka-GE"/>
        </w:rPr>
        <w:t xml:space="preserve">. </w:t>
      </w:r>
    </w:p>
    <w:p w:rsidR="001B20F7" w:rsidRDefault="009653F7" w:rsidP="001B20F7">
      <w:pPr>
        <w:spacing w:after="0"/>
        <w:ind w:firstLine="709"/>
        <w:jc w:val="both"/>
        <w:rPr>
          <w:rFonts w:ascii="Sylfaen" w:hAnsi="Sylfaen"/>
          <w:lang w:val="ka-GE"/>
        </w:rPr>
      </w:pPr>
      <w:r w:rsidRPr="00D707E6">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1B20F7" w:rsidRDefault="001B20F7" w:rsidP="001B20F7">
      <w:pPr>
        <w:spacing w:after="0"/>
        <w:ind w:firstLine="709"/>
        <w:jc w:val="both"/>
        <w:rPr>
          <w:rFonts w:ascii="Sylfaen" w:hAnsi="Sylfaen"/>
          <w:lang w:val="ka-GE"/>
        </w:rPr>
      </w:pPr>
      <w:r>
        <w:rPr>
          <w:rFonts w:ascii="Sylfaen" w:hAnsi="Sylfaen"/>
          <w:lang w:val="ka-GE"/>
        </w:rPr>
        <w:t>ბოლო ორი წლის განმავლობაში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1B20F7" w:rsidRDefault="001B20F7" w:rsidP="001B20F7">
      <w:pPr>
        <w:spacing w:after="0"/>
        <w:ind w:firstLine="709"/>
        <w:jc w:val="both"/>
        <w:rPr>
          <w:rFonts w:ascii="Sylfaen" w:hAnsi="Sylfaen"/>
          <w:lang w:val="ka-GE"/>
        </w:rPr>
      </w:pPr>
      <w:r>
        <w:rPr>
          <w:rFonts w:ascii="Sylfaen" w:hAnsi="Sylfaen"/>
          <w:lang w:val="ka-GE"/>
        </w:rPr>
        <w:t>2021 წელს რეალურმა ეკონომიკურმა ზრდამ თავდაპირველად პროგნოზირებული 4,3%-ის ნაცვლად 10,5%, ხოლო 2022 წლისთვის პროგნოზირებული 6,0%-ის ნაცვლად 10,1% შეადგინა.  ორი წლის განმავლობაში ორნიშნა ეკონომიკური ზრდის შედეგად ნომინალური მთლიანი შიდა პროდუქტი 2020 წელს არსებული 49,3 მილიარდი ლარიდან 2022 წლის ბოლოსთვის გაიზარდა 71,8 მილიარდ ლარამდე.</w:t>
      </w:r>
    </w:p>
    <w:p w:rsidR="001B20F7" w:rsidRDefault="001B20F7" w:rsidP="001B20F7">
      <w:pPr>
        <w:spacing w:after="0"/>
        <w:ind w:firstLine="709"/>
        <w:jc w:val="both"/>
        <w:rPr>
          <w:rFonts w:ascii="Sylfaen" w:hAnsi="Sylfaen"/>
          <w:lang w:val="ka-GE"/>
        </w:rPr>
      </w:pPr>
      <w:r>
        <w:rPr>
          <w:rFonts w:ascii="Sylfaen" w:hAnsi="Sylfaen"/>
          <w:lang w:val="ka-GE"/>
        </w:rPr>
        <w:t>მაღალმა ეკონომიკურმა მაჩვენებლებმა, პრიორიტეტული მიმართულებების დაფინანსების ზრდის მიუხედავად, შესაძლებელი გახადა განხორციელებულიყო მნიშნვნელოვანი ფისკალური კონსოლიდაცია და შედეგად შემცირებულიყო მთავრობის ვალის მაჩვენებელი, კერძოდ 2022 წლის ბოლოსთვის ბიუჯეტის დეფიციტის მაჩვენებელი 2020 წელს არსებული მშპ-ს 9,3%-დან შემცირდა მშპ-ს 3,1%-მდე, ხოლო მთავრობის ვალის მაჩვენებელი 2020 წლის 60,2%-ის ნაცვლად 39,8%-მდე.</w:t>
      </w:r>
    </w:p>
    <w:p w:rsidR="001B20F7" w:rsidRDefault="001B20F7" w:rsidP="001B20F7">
      <w:pPr>
        <w:spacing w:after="0"/>
        <w:ind w:firstLine="709"/>
        <w:jc w:val="both"/>
        <w:rPr>
          <w:rFonts w:ascii="Sylfaen" w:hAnsi="Sylfaen"/>
          <w:lang w:val="ka-GE"/>
        </w:rPr>
      </w:pPr>
      <w:r>
        <w:rPr>
          <w:rFonts w:ascii="Sylfaen" w:hAnsi="Sylfaen"/>
          <w:lang w:val="ka-GE"/>
        </w:rPr>
        <w:t>2023 წლის ბიუჯეტი დაიგეგმა 5%-იანი რეალური ეკონომიკური ზრდის პროგნოზით, რომლის ფარგლებშიც საგადასახადო შემოსავლების გეგმამ 18,9 მილიარდი ლარი შეადგინა, ხოლო ბიუჯეტის დეფიციტი განისაზღვრა მშპ-ს 2,8%-ის ოდენობით.</w:t>
      </w:r>
    </w:p>
    <w:p w:rsidR="001B20F7" w:rsidRDefault="001B20F7" w:rsidP="001B20F7">
      <w:pPr>
        <w:spacing w:after="0"/>
        <w:ind w:firstLine="709"/>
        <w:jc w:val="both"/>
        <w:rPr>
          <w:rFonts w:ascii="Sylfaen" w:hAnsi="Sylfaen"/>
          <w:lang w:val="ka-GE"/>
        </w:rPr>
      </w:pPr>
      <w:r>
        <w:rPr>
          <w:rFonts w:ascii="Sylfaen" w:hAnsi="Sylfaen"/>
          <w:lang w:val="ka-GE"/>
        </w:rPr>
        <w:t>2023 წლის პირველ  ნახევარში ეკონომიკური ტენდენციები კვლავ პროგნოზირებულზე მაღალი იყო, კერძოდ:</w:t>
      </w:r>
    </w:p>
    <w:p w:rsidR="001B20F7" w:rsidRDefault="001B20F7" w:rsidP="001B20F7">
      <w:pPr>
        <w:pStyle w:val="ListParagraph"/>
        <w:numPr>
          <w:ilvl w:val="0"/>
          <w:numId w:val="24"/>
        </w:numPr>
        <w:spacing w:before="240" w:after="0" w:line="240" w:lineRule="auto"/>
        <w:jc w:val="both"/>
        <w:rPr>
          <w:rFonts w:ascii="Sylfaen" w:hAnsi="Sylfaen"/>
          <w:lang w:val="ka-GE"/>
        </w:rPr>
      </w:pPr>
      <w:r>
        <w:rPr>
          <w:rFonts w:ascii="Sylfaen" w:hAnsi="Sylfaen"/>
          <w:lang w:val="ka-GE"/>
        </w:rPr>
        <w:t>ექსპორტის მოცულობა წინა წლის 6 თვესთან შედარებით 19,3%-ით გაიზარდა და 3,1 მლრდ დოლარი შეადგინა;</w:t>
      </w:r>
    </w:p>
    <w:p w:rsidR="001B20F7" w:rsidRDefault="001B20F7" w:rsidP="001B20F7">
      <w:pPr>
        <w:pStyle w:val="ListParagraph"/>
        <w:numPr>
          <w:ilvl w:val="0"/>
          <w:numId w:val="24"/>
        </w:numPr>
        <w:spacing w:before="240" w:after="0" w:line="240" w:lineRule="auto"/>
        <w:jc w:val="both"/>
        <w:rPr>
          <w:rFonts w:ascii="Sylfaen" w:hAnsi="Sylfaen"/>
          <w:lang w:val="ka-GE"/>
        </w:rPr>
      </w:pPr>
      <w:r>
        <w:rPr>
          <w:rFonts w:ascii="Sylfaen" w:hAnsi="Sylfaen"/>
          <w:lang w:val="ka-GE"/>
        </w:rPr>
        <w:t>ტურიზმიდან მიღებული შემოსავლები 57,9%-ით გაიზარდა და 1,8 მლრდ დოლარს გადააჭარბა, რაც 23,9%-ით აღემატება 2019 წლის (პანდემიამდე პერიოდის) პირველი ნახევრის მაჩვენებელს;</w:t>
      </w:r>
    </w:p>
    <w:p w:rsidR="001B20F7" w:rsidRDefault="001B20F7" w:rsidP="001B20F7">
      <w:pPr>
        <w:pStyle w:val="ListParagraph"/>
        <w:numPr>
          <w:ilvl w:val="0"/>
          <w:numId w:val="24"/>
        </w:numPr>
        <w:spacing w:before="240" w:after="0" w:line="240" w:lineRule="auto"/>
        <w:jc w:val="both"/>
        <w:rPr>
          <w:rFonts w:ascii="Sylfaen" w:hAnsi="Sylfaen"/>
          <w:lang w:val="ka-GE"/>
        </w:rPr>
      </w:pPr>
      <w:r>
        <w:rPr>
          <w:rFonts w:ascii="Sylfaen" w:hAnsi="Sylfaen"/>
          <w:lang w:val="ka-GE"/>
        </w:rPr>
        <w:t>პირდაპირი უცხოური ინვესტიციები 10%-ზე მეტად გაიზარდა და 1,1 მლრდ დოლარი შეადგინა;</w:t>
      </w:r>
    </w:p>
    <w:p w:rsidR="001B20F7" w:rsidRDefault="001B20F7" w:rsidP="001B20F7">
      <w:pPr>
        <w:spacing w:after="0"/>
        <w:ind w:firstLine="709"/>
        <w:jc w:val="both"/>
        <w:rPr>
          <w:rFonts w:ascii="Sylfaen" w:hAnsi="Sylfaen"/>
          <w:lang w:val="ka-GE"/>
        </w:rPr>
      </w:pPr>
      <w:r>
        <w:rPr>
          <w:rFonts w:ascii="Sylfaen" w:hAnsi="Sylfaen"/>
          <w:lang w:val="ka-GE"/>
        </w:rPr>
        <w:t>ზემოაღნიშნული და სხვა დადებითი მაჩვენებლების შედეგად 2023 წლის პირველ ნახევარში საქართველოს რეალურმა ეკონომიკურმა ზრდამ 7,6% შეადგინა, რისი გათვალისწინებითაც  განახლდა ეკონომიკური ზრდის პროგნოზი და შეადგენს 6,5%-ს, ნაცვლად მანამდე არსებული 5%-ისა.</w:t>
      </w:r>
    </w:p>
    <w:p w:rsidR="001B20F7" w:rsidRDefault="001B20F7" w:rsidP="001B20F7">
      <w:pPr>
        <w:spacing w:after="0"/>
        <w:ind w:firstLine="709"/>
        <w:jc w:val="both"/>
        <w:rPr>
          <w:rFonts w:ascii="Sylfaen" w:hAnsi="Sylfaen"/>
          <w:lang w:val="ka-GE"/>
        </w:rPr>
      </w:pPr>
      <w:r>
        <w:rPr>
          <w:rFonts w:ascii="Sylfaen" w:hAnsi="Sylfaen"/>
          <w:lang w:val="ka-GE"/>
        </w:rPr>
        <w:t>2024 წლის ბიუჯეტიც დაგეგმილია კონსერვატიული მიდგომით და გათვალისწინებულია შემდგეგი მაკროეკონომიკური პარამეტრები:</w:t>
      </w:r>
    </w:p>
    <w:p w:rsidR="001B20F7" w:rsidRPr="00D9774F" w:rsidRDefault="001B20F7" w:rsidP="001B20F7">
      <w:pPr>
        <w:pStyle w:val="Normal0"/>
        <w:numPr>
          <w:ilvl w:val="0"/>
          <w:numId w:val="25"/>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D9774F">
        <w:rPr>
          <w:rFonts w:ascii="Sylfaen" w:hAnsi="Sylfaen"/>
          <w:sz w:val="22"/>
          <w:szCs w:val="22"/>
          <w:lang w:val="ka-GE"/>
        </w:rPr>
        <w:t>რეალური ეკონომიკური ზრდა დაგეგმილია 5,2%-ის ოდენობით, ხოლო საშუალოვადიან პერიოდში რეალური ეკონომიკური ზრდის პროგნოზი 5%-ს შეადგენს;</w:t>
      </w:r>
    </w:p>
    <w:p w:rsidR="001B20F7" w:rsidRPr="00B10A4D" w:rsidRDefault="001B20F7" w:rsidP="001B20F7">
      <w:pPr>
        <w:pStyle w:val="Normal0"/>
        <w:numPr>
          <w:ilvl w:val="0"/>
          <w:numId w:val="25"/>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10A4D">
        <w:rPr>
          <w:rFonts w:ascii="Sylfaen" w:hAnsi="Sylfaen" w:cs="Sylfaen"/>
          <w:sz w:val="22"/>
          <w:szCs w:val="22"/>
          <w:lang w:val="ka-GE"/>
        </w:rPr>
        <w:t>მ</w:t>
      </w:r>
      <w:r w:rsidRPr="00B10A4D">
        <w:rPr>
          <w:rFonts w:ascii="Sylfaen" w:hAnsi="Sylfaen"/>
          <w:sz w:val="22"/>
          <w:szCs w:val="22"/>
          <w:lang w:val="ka-GE"/>
        </w:rPr>
        <w:t>შპ-ის დეფლატორის პროგნოზი 3%-ს შეადგენს და იგივე მაჩვენებელია შენარჩუნებულია მომდევნო წლებშიც;</w:t>
      </w:r>
    </w:p>
    <w:p w:rsidR="001B20F7" w:rsidRPr="00B10A4D" w:rsidRDefault="001B20F7" w:rsidP="001B20F7">
      <w:pPr>
        <w:pStyle w:val="Normal0"/>
        <w:numPr>
          <w:ilvl w:val="0"/>
          <w:numId w:val="25"/>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10A4D">
        <w:rPr>
          <w:rFonts w:ascii="Sylfaen" w:hAnsi="Sylfaen" w:cs="Sylfaen"/>
          <w:bCs/>
          <w:noProof/>
          <w:sz w:val="22"/>
          <w:szCs w:val="22"/>
          <w:lang w:val="ka-GE"/>
        </w:rPr>
        <w:t>საშუალო ინფლაციის პროგნოზი მიზნობრივი  მაჩვენებლის ფარგლებშია და 2,8%-ს შეადგენს;</w:t>
      </w:r>
    </w:p>
    <w:p w:rsidR="001B20F7" w:rsidRPr="00B10A4D" w:rsidRDefault="001B20F7" w:rsidP="001B20F7">
      <w:pPr>
        <w:pStyle w:val="ListParagraph"/>
        <w:numPr>
          <w:ilvl w:val="0"/>
          <w:numId w:val="25"/>
        </w:numPr>
        <w:tabs>
          <w:tab w:val="left" w:pos="1134"/>
        </w:tabs>
        <w:spacing w:after="0" w:line="240" w:lineRule="auto"/>
        <w:jc w:val="both"/>
        <w:rPr>
          <w:rFonts w:ascii="Sylfaen" w:hAnsi="Sylfaen"/>
          <w:lang w:val="ka-GE"/>
        </w:rPr>
      </w:pPr>
      <w:r w:rsidRPr="00B10A4D">
        <w:rPr>
          <w:rFonts w:ascii="Sylfaen" w:hAnsi="Sylfaen"/>
          <w:lang w:val="ka-GE"/>
        </w:rPr>
        <w:t xml:space="preserve">ნომინალური მშპ-ის პროგნოზი განსაზღვრულია 85,4 მლრდ ლარის ოდენობით, ხოლო ერთ სულ მოსახლეზე გადაანგარიშებული მთლიანი შიდა პროდუქტი თითქმის 8 600 დოლარს აჭარბებს. </w:t>
      </w:r>
      <w:r w:rsidRPr="00B10A4D">
        <w:rPr>
          <w:rFonts w:ascii="Sylfaen" w:hAnsi="Sylfaen" w:cs="Sylfaen"/>
          <w:bCs/>
          <w:noProof/>
          <w:lang w:val="ka-GE"/>
        </w:rPr>
        <w:t>2027 წლისთვის პროგნოზირებულია ნომინალური მთლიანი შიდა პროდუქტის ზრდა 108,0 მლრდ ლარამდე, რაც ერთ სულ მოსახლეზე გადაანგარიშებით   10 900 დოლარს გადააჭარბებს;</w:t>
      </w:r>
    </w:p>
    <w:p w:rsidR="001B20F7" w:rsidRPr="0020507D" w:rsidRDefault="001B20F7" w:rsidP="001B20F7">
      <w:pPr>
        <w:pStyle w:val="ListParagraph"/>
        <w:numPr>
          <w:ilvl w:val="0"/>
          <w:numId w:val="25"/>
        </w:numPr>
        <w:tabs>
          <w:tab w:val="left" w:pos="1134"/>
        </w:tabs>
        <w:spacing w:after="0" w:line="240" w:lineRule="auto"/>
        <w:jc w:val="both"/>
        <w:rPr>
          <w:rFonts w:ascii="Sylfaen" w:hAnsi="Sylfaen"/>
          <w:lang w:val="ka-GE"/>
        </w:rPr>
      </w:pPr>
      <w:r w:rsidRPr="0020507D">
        <w:rPr>
          <w:rFonts w:ascii="Sylfaen" w:hAnsi="Sylfaen"/>
          <w:lang w:val="ka-GE"/>
        </w:rPr>
        <w:t>ნაერთი ბიუჯეტის საგადასახადო შემოსავლები განისაზღვრება 21,2 მლრდ ლარის ოდენობით, რაც მშპ-ს 24,9%-ია;</w:t>
      </w:r>
    </w:p>
    <w:p w:rsidR="001B20F7" w:rsidRPr="0020507D" w:rsidRDefault="001B20F7" w:rsidP="001B20F7">
      <w:pPr>
        <w:pStyle w:val="ListParagraph"/>
        <w:numPr>
          <w:ilvl w:val="0"/>
          <w:numId w:val="25"/>
        </w:numPr>
        <w:tabs>
          <w:tab w:val="left" w:pos="1134"/>
        </w:tabs>
        <w:spacing w:after="0" w:line="240" w:lineRule="auto"/>
        <w:jc w:val="both"/>
        <w:rPr>
          <w:rFonts w:ascii="Sylfaen" w:hAnsi="Sylfaen"/>
          <w:lang w:val="ka-GE"/>
        </w:rPr>
      </w:pPr>
      <w:r w:rsidRPr="0020507D">
        <w:rPr>
          <w:rFonts w:ascii="Sylfaen" w:hAnsi="Sylfaen"/>
          <w:lang w:val="ka-GE"/>
        </w:rPr>
        <w:t>ნაერთი ბიუჯეტის დეფიციტი შეადგენს მშპ-ს 2,5%-ს, ხოლო მთავრობის ვალის მაჩვენებელი მშპ-ს 38,2%-ის ფარგლებშია.</w:t>
      </w:r>
    </w:p>
    <w:p w:rsidR="00AD4464" w:rsidRPr="00D707E6" w:rsidRDefault="00AD4464" w:rsidP="001B20F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970A67" w:rsidRDefault="0094642B"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D707E6">
        <w:rPr>
          <w:rFonts w:ascii="Sylfaen" w:hAnsi="Sylfaen" w:cs="Sylfaen"/>
          <w:bCs/>
          <w:noProof/>
          <w:sz w:val="22"/>
          <w:szCs w:val="22"/>
          <w:lang w:val="ka-GE"/>
        </w:rPr>
        <w:tab/>
        <w:t xml:space="preserve">აღნიშნულის გათვალისწინებით, </w:t>
      </w:r>
      <w:r w:rsidR="002E638F" w:rsidRPr="00D707E6">
        <w:rPr>
          <w:rFonts w:ascii="Sylfaen" w:hAnsi="Sylfaen" w:cs="Sylfaen"/>
          <w:bCs/>
          <w:noProof/>
          <w:sz w:val="22"/>
          <w:szCs w:val="22"/>
          <w:lang w:val="ka-GE"/>
        </w:rPr>
        <w:t>გადაიხედა</w:t>
      </w:r>
      <w:r w:rsidR="00423421" w:rsidRPr="00D707E6">
        <w:rPr>
          <w:rFonts w:ascii="Sylfaen" w:hAnsi="Sylfaen" w:cs="Sylfaen"/>
          <w:bCs/>
          <w:noProof/>
          <w:sz w:val="22"/>
          <w:szCs w:val="22"/>
          <w:lang w:val="ka-GE"/>
        </w:rPr>
        <w:t xml:space="preserve"> მიმდინარე</w:t>
      </w:r>
      <w:r w:rsidR="005C64F7" w:rsidRPr="00D707E6">
        <w:rPr>
          <w:rFonts w:ascii="Sylfaen" w:hAnsi="Sylfaen" w:cs="Sylfaen"/>
          <w:bCs/>
          <w:noProof/>
          <w:sz w:val="22"/>
          <w:szCs w:val="22"/>
          <w:lang w:val="ka-GE"/>
        </w:rPr>
        <w:t xml:space="preserve"> </w:t>
      </w:r>
      <w:r w:rsidR="002E638F" w:rsidRPr="00D707E6">
        <w:rPr>
          <w:rFonts w:ascii="Sylfaen" w:hAnsi="Sylfaen" w:cs="Sylfaen"/>
          <w:bCs/>
          <w:noProof/>
          <w:sz w:val="22"/>
          <w:szCs w:val="22"/>
          <w:lang w:val="ka-GE"/>
        </w:rPr>
        <w:t>და კაპიტალური ხარჯების დაგეგმილი მაჩვენებლები და არსებული გამოწვევები</w:t>
      </w:r>
      <w:r w:rsidRPr="00D707E6">
        <w:rPr>
          <w:rFonts w:ascii="Sylfaen" w:hAnsi="Sylfaen" w:cs="Sylfaen"/>
          <w:bCs/>
          <w:noProof/>
          <w:sz w:val="22"/>
          <w:szCs w:val="22"/>
          <w:lang w:val="ka-GE"/>
        </w:rPr>
        <w:t>ს</w:t>
      </w:r>
      <w:r w:rsidR="002E638F" w:rsidRPr="00D707E6">
        <w:rPr>
          <w:rFonts w:ascii="Sylfaen" w:hAnsi="Sylfaen" w:cs="Sylfaen"/>
          <w:bCs/>
          <w:noProof/>
          <w:sz w:val="22"/>
          <w:szCs w:val="22"/>
          <w:lang w:val="ka-GE"/>
        </w:rPr>
        <w:t xml:space="preserve"> საპასუხოდ, დაგეგმილი პროგრამების </w:t>
      </w:r>
      <w:r w:rsidR="005C7A8F">
        <w:rPr>
          <w:rFonts w:ascii="Sylfaen" w:hAnsi="Sylfaen" w:cs="Sylfaen"/>
          <w:bCs/>
          <w:noProof/>
          <w:sz w:val="22"/>
          <w:szCs w:val="22"/>
          <w:lang w:val="ka-GE"/>
        </w:rPr>
        <w:t xml:space="preserve">სრულფასოვნად განსახორციელებლად. მიმდინარე წელს 2024-2027 წლების ქვეყნის ძირითადი მონაცემების და მიმართულებების დოკუმენტის პირველადი ვერსიაში, რომელიც საქართველოს მთავრობის მიერ მოწონებულ იქნა 10 ივლისამდე, განახლდა მიმდინარე წლის და შემდგომი წლების პროგნოზები, </w:t>
      </w:r>
      <w:r w:rsidR="005C7A8F" w:rsidRPr="00D707E6">
        <w:rPr>
          <w:rFonts w:ascii="Sylfaen" w:hAnsi="Sylfaen" w:cs="Sylfaen"/>
          <w:bCs/>
          <w:noProof/>
          <w:sz w:val="22"/>
          <w:szCs w:val="22"/>
          <w:lang w:val="ka-GE"/>
        </w:rPr>
        <w:t>2023 წლის და 2024-2027 წლების მოსალოდნელ პროგნოზებში გათვალისწინე</w:t>
      </w:r>
      <w:r w:rsidR="005C7A8F">
        <w:rPr>
          <w:rFonts w:ascii="Sylfaen" w:hAnsi="Sylfaen" w:cs="Sylfaen"/>
          <w:bCs/>
          <w:noProof/>
          <w:sz w:val="22"/>
          <w:szCs w:val="22"/>
          <w:lang w:val="ka-GE"/>
        </w:rPr>
        <w:t xml:space="preserve">ბულია მიმდინარე ხარჯების გაზრდა. ასევე, </w:t>
      </w:r>
      <w:r w:rsidR="005C7A8F" w:rsidRPr="00D707E6">
        <w:rPr>
          <w:rFonts w:ascii="Sylfaen" w:hAnsi="Sylfaen" w:cs="Sylfaen"/>
          <w:bCs/>
          <w:noProof/>
          <w:sz w:val="22"/>
          <w:szCs w:val="22"/>
          <w:lang w:val="ka-GE"/>
        </w:rPr>
        <w:t>გაზრდილია კაპიტალური ხარჯების პროგნოზები</w:t>
      </w:r>
      <w:r w:rsidR="005C7A8F">
        <w:rPr>
          <w:rFonts w:ascii="Sylfaen" w:hAnsi="Sylfaen" w:cs="Sylfaen"/>
          <w:bCs/>
          <w:noProof/>
          <w:sz w:val="22"/>
          <w:szCs w:val="22"/>
          <w:lang w:val="ka-GE"/>
        </w:rPr>
        <w:t xml:space="preserve">. </w:t>
      </w:r>
      <w:r w:rsidR="00AD4464" w:rsidRPr="00D707E6">
        <w:rPr>
          <w:rFonts w:ascii="Sylfaen" w:hAnsi="Sylfaen" w:cs="Sylfaen"/>
          <w:bCs/>
          <w:noProof/>
          <w:sz w:val="22"/>
          <w:szCs w:val="22"/>
          <w:lang w:val="ka-GE"/>
        </w:rPr>
        <w:t>გაიზარდა ნაერთი ბიუჯეტის როგორც შე</w:t>
      </w:r>
      <w:r w:rsidR="005C7A8F">
        <w:rPr>
          <w:rFonts w:ascii="Sylfaen" w:hAnsi="Sylfaen" w:cs="Sylfaen"/>
          <w:bCs/>
          <w:noProof/>
          <w:sz w:val="22"/>
          <w:szCs w:val="22"/>
          <w:lang w:val="ka-GE"/>
        </w:rPr>
        <w:t xml:space="preserve">მოსავლები, ასევე გადასახდელები, როგორც მიმდინარე წლის ივლისში მომზადებულ პროგნოზებში, ასევე 2024 წლის სახელმწიფო ბიუჯეტის პროექტთან ერთად წარმოდგენილ პროგნოზებში, ამასთან შენარჩუნებულია ნაერთი ბიუჯეტის დეფიციტის იგივე მაჩვენებელი. </w:t>
      </w:r>
    </w:p>
    <w:p w:rsidR="002E638F" w:rsidRPr="00D707E6" w:rsidRDefault="00970A6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AD4464" w:rsidRPr="00D707E6">
        <w:rPr>
          <w:rFonts w:ascii="Sylfaen" w:hAnsi="Sylfaen" w:cs="Sylfaen"/>
          <w:bCs/>
          <w:noProof/>
          <w:sz w:val="22"/>
          <w:szCs w:val="22"/>
          <w:lang w:val="ka-GE"/>
        </w:rPr>
        <w:t xml:space="preserve">ნაერთი ბიუჯეტის დეფიციტმა </w:t>
      </w:r>
      <w:r w:rsidR="0033239E" w:rsidRPr="00D707E6">
        <w:rPr>
          <w:rFonts w:ascii="Sylfaen" w:hAnsi="Sylfaen" w:cs="Sylfaen"/>
          <w:bCs/>
          <w:noProof/>
          <w:sz w:val="22"/>
          <w:szCs w:val="22"/>
          <w:lang w:val="ka-GE"/>
        </w:rPr>
        <w:t xml:space="preserve">2023 წელს </w:t>
      </w:r>
      <w:r w:rsidR="00AD4464" w:rsidRPr="00D707E6">
        <w:rPr>
          <w:rFonts w:ascii="Sylfaen" w:hAnsi="Sylfaen" w:cs="Sylfaen"/>
          <w:bCs/>
          <w:noProof/>
          <w:sz w:val="22"/>
          <w:szCs w:val="22"/>
          <w:lang w:val="ka-GE"/>
        </w:rPr>
        <w:t xml:space="preserve">შეადგინა </w:t>
      </w:r>
      <w:r>
        <w:rPr>
          <w:rFonts w:ascii="Sylfaen" w:hAnsi="Sylfaen" w:cs="Sylfaen"/>
          <w:bCs/>
          <w:noProof/>
          <w:sz w:val="22"/>
          <w:szCs w:val="22"/>
          <w:lang w:val="ka-GE"/>
        </w:rPr>
        <w:t>3</w:t>
      </w:r>
      <w:r w:rsidR="0041266C" w:rsidRPr="00D707E6">
        <w:rPr>
          <w:rFonts w:ascii="Sylfaen" w:hAnsi="Sylfaen" w:cs="Sylfaen"/>
          <w:bCs/>
          <w:noProof/>
          <w:sz w:val="22"/>
          <w:szCs w:val="22"/>
          <w:lang w:val="ka-GE"/>
        </w:rPr>
        <w:t>%, ხოლო 2024 წელს 2,</w:t>
      </w:r>
      <w:r>
        <w:rPr>
          <w:rFonts w:ascii="Sylfaen" w:hAnsi="Sylfaen" w:cs="Sylfaen"/>
          <w:bCs/>
          <w:noProof/>
          <w:sz w:val="22"/>
          <w:szCs w:val="22"/>
          <w:lang w:val="ka-GE"/>
        </w:rPr>
        <w:t>6</w:t>
      </w:r>
      <w:r w:rsidR="0041266C" w:rsidRPr="00D707E6">
        <w:rPr>
          <w:rFonts w:ascii="Sylfaen" w:hAnsi="Sylfaen" w:cs="Sylfaen"/>
          <w:bCs/>
          <w:noProof/>
          <w:sz w:val="22"/>
          <w:szCs w:val="22"/>
          <w:lang w:val="ka-GE"/>
        </w:rPr>
        <w:t>%, საშუალოვადიან პერიოდში კი შენარჩუნებულია 2,1%-ის ფარგლებში. თუმცა აღსანიშნავია, რომ მიმდინარე წელს 2023 წლის ბიუჯეტის კანონის გადამუშავებისას, ასევე 2024 წლის სახელმწიფო ბიუჯეტის პროექტის მომზადების პროცესში კვლავ გადაიხედება მიმდინარე და შემდგომი წლების პროგნოზები.</w:t>
      </w:r>
    </w:p>
    <w:p w:rsidR="00970A67" w:rsidRDefault="002E638F" w:rsidP="00970A6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r w:rsidRPr="00D707E6">
        <w:rPr>
          <w:rFonts w:ascii="Sylfaen" w:hAnsi="Sylfaen" w:cs="Sylfaen"/>
          <w:bCs/>
          <w:noProof/>
          <w:sz w:val="22"/>
          <w:szCs w:val="22"/>
          <w:lang w:val="ka-GE"/>
        </w:rPr>
        <w:tab/>
      </w:r>
      <w:r w:rsidR="001B20F7" w:rsidRPr="00D617FF">
        <w:rPr>
          <w:rFonts w:ascii="Sylfaen" w:hAnsi="Sylfaen"/>
          <w:sz w:val="22"/>
          <w:szCs w:val="22"/>
          <w:lang w:val="ka-GE"/>
        </w:rPr>
        <w:t>ზემოაღნიშნული მაჩვენებლების ფარგლებში 2024 წლის ნაერთი ბიუჯეტის ხარჯვითი ნაწილი ჯამურად შეადგენს 27,8 მლრდ ლარს, რომლის ფარგლებშიც სრულად ფინანსდება სახელმწიფოს მიერ აღებული ვალდებულებები.</w:t>
      </w:r>
    </w:p>
    <w:p w:rsidR="00970A67" w:rsidRPr="00D617FF" w:rsidRDefault="00970A67" w:rsidP="00970A6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09"/>
        <w:jc w:val="both"/>
        <w:rPr>
          <w:rFonts w:ascii="Sylfaen" w:hAnsi="Sylfaen"/>
          <w:sz w:val="22"/>
          <w:szCs w:val="22"/>
          <w:lang w:val="ka-GE"/>
        </w:rPr>
      </w:pPr>
      <w:r>
        <w:rPr>
          <w:rFonts w:ascii="Sylfaen" w:hAnsi="Sylfaen" w:cs="Sylfaen"/>
          <w:bCs/>
          <w:noProof/>
          <w:sz w:val="22"/>
          <w:szCs w:val="22"/>
          <w:lang w:val="ka-GE"/>
        </w:rPr>
        <w:t xml:space="preserve">აღსანიშნავია, რომ მომზადებულია 2023 წლის სახელმწიფო ბიუჯეტში ცვლილების პროექტი და წარდგენილია საქართველოს პარლამენტისთვის, </w:t>
      </w:r>
      <w:r w:rsidR="00E202AC">
        <w:rPr>
          <w:rFonts w:ascii="Sylfaen" w:hAnsi="Sylfaen" w:cs="Sylfaen"/>
          <w:bCs/>
          <w:noProof/>
          <w:sz w:val="22"/>
          <w:szCs w:val="22"/>
          <w:lang w:val="ka-GE"/>
        </w:rPr>
        <w:t>სადაც ასახულია შესაბამისი ცვლილებები.</w:t>
      </w:r>
    </w:p>
    <w:p w:rsidR="001B20F7"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1B20F7"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202AC" w:rsidRDefault="00E202AC">
      <w:pPr>
        <w:rPr>
          <w:rFonts w:ascii="Sylfaen" w:eastAsia="Times New Roman" w:hAnsi="Sylfaen" w:cs="Sylfaen"/>
          <w:bCs/>
          <w:noProof/>
          <w:lang w:val="ka-GE" w:eastAsia="ru-RU"/>
        </w:rPr>
      </w:pPr>
      <w:r>
        <w:rPr>
          <w:rFonts w:ascii="Sylfaen" w:hAnsi="Sylfaen" w:cs="Sylfaen"/>
          <w:bCs/>
          <w:noProof/>
          <w:lang w:val="ka-GE"/>
        </w:rPr>
        <w:br w:type="page"/>
      </w:r>
    </w:p>
    <w:p w:rsidR="001B20F7" w:rsidRPr="00D707E6"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404E8F" w:rsidRPr="00D707E6"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sidRPr="00D707E6">
        <w:rPr>
          <w:rFonts w:ascii="Sylfaen" w:hAnsi="Sylfaen" w:cs="Sylfaen"/>
          <w:bCs/>
          <w:noProof/>
          <w:sz w:val="22"/>
          <w:szCs w:val="22"/>
          <w:lang w:val="ka-GE"/>
        </w:rPr>
        <w:tab/>
      </w:r>
      <w:r w:rsidR="00902BC5" w:rsidRPr="00D707E6">
        <w:rPr>
          <w:rFonts w:ascii="Sylfaen" w:hAnsi="Sylfaen" w:cs="Sylfaen"/>
          <w:b/>
          <w:lang w:val="ka-GE"/>
        </w:rPr>
        <w:t>საშუალოვადიანი პერიოდის პროგნოზები</w:t>
      </w:r>
    </w:p>
    <w:p w:rsidR="0040580D" w:rsidRPr="00D707E6" w:rsidRDefault="0040580D" w:rsidP="0040580D">
      <w:pPr>
        <w:spacing w:after="0" w:line="276" w:lineRule="auto"/>
        <w:ind w:firstLine="720"/>
        <w:jc w:val="both"/>
        <w:rPr>
          <w:rFonts w:ascii="Sylfaen" w:hAnsi="Sylfaen"/>
        </w:rPr>
      </w:pPr>
      <w:r w:rsidRPr="00D707E6">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sidRPr="00D707E6">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sidRPr="00D707E6">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Pr="00D707E6" w:rsidRDefault="0040580D" w:rsidP="00EA21C9">
      <w:pPr>
        <w:spacing w:after="0" w:line="276" w:lineRule="auto"/>
        <w:ind w:firstLine="720"/>
        <w:jc w:val="both"/>
        <w:rPr>
          <w:rFonts w:ascii="Sylfaen" w:hAnsi="Sylfaen" w:cs="Sylfaen"/>
          <w:lang w:val="ka-GE"/>
        </w:rPr>
      </w:pPr>
      <w:r w:rsidRPr="00D707E6">
        <w:rPr>
          <w:rFonts w:ascii="Sylfaen" w:hAnsi="Sylfaen" w:cs="Sylfaen"/>
          <w:lang w:val="ka-GE"/>
        </w:rPr>
        <w:t>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როგორც ნომინალურ გამოხატულებაში, ისე მშპ-თან მიმართებაში</w:t>
      </w:r>
      <w:r w:rsidR="00A71D2C" w:rsidRPr="00D707E6">
        <w:rPr>
          <w:rFonts w:ascii="Sylfaen" w:hAnsi="Sylfaen" w:cs="Sylfaen"/>
          <w:lang w:val="ka-GE"/>
        </w:rPr>
        <w:t xml:space="preserve"> და 2021 წ</w:t>
      </w:r>
      <w:r w:rsidRPr="00D707E6">
        <w:rPr>
          <w:rFonts w:ascii="Sylfaen" w:hAnsi="Sylfaen" w:cs="Sylfaen"/>
          <w:lang w:val="ka-GE"/>
        </w:rPr>
        <w:t>ლის ფაქტიურმა მაჩვენებელმა შეადგინა</w:t>
      </w:r>
      <w:r w:rsidR="00A71D2C" w:rsidRPr="00D707E6">
        <w:rPr>
          <w:rFonts w:ascii="Sylfaen" w:hAnsi="Sylfaen" w:cs="Sylfaen"/>
          <w:lang w:val="ka-GE"/>
        </w:rPr>
        <w:t xml:space="preserve"> 6.2</w:t>
      </w:r>
      <w:r w:rsidR="00EA21C9" w:rsidRPr="00D707E6">
        <w:rPr>
          <w:rFonts w:ascii="Sylfaen" w:hAnsi="Sylfaen" w:cs="Sylfaen"/>
          <w:lang w:val="ka-GE"/>
        </w:rPr>
        <w:t xml:space="preserve">%. </w:t>
      </w:r>
    </w:p>
    <w:p w:rsidR="00D04BEA" w:rsidRPr="00D707E6" w:rsidRDefault="0040580D" w:rsidP="00D04BEA">
      <w:pPr>
        <w:spacing w:after="0" w:line="276" w:lineRule="auto"/>
        <w:ind w:firstLine="720"/>
        <w:jc w:val="both"/>
        <w:rPr>
          <w:rFonts w:ascii="Sylfaen" w:hAnsi="Sylfaen" w:cs="Sylfaen"/>
          <w:lang w:val="ka-GE"/>
        </w:rPr>
      </w:pPr>
      <w:r w:rsidRPr="00163AF5">
        <w:rPr>
          <w:rFonts w:ascii="Sylfaen" w:hAnsi="Sylfaen" w:cs="Sylfaen"/>
          <w:lang w:val="ka-GE"/>
        </w:rPr>
        <w:t>2022-2025 წლების პროგნოზ</w:t>
      </w:r>
      <w:r w:rsidR="008C1EB7" w:rsidRPr="00163AF5">
        <w:rPr>
          <w:rFonts w:ascii="Sylfaen" w:hAnsi="Sylfaen" w:cs="Sylfaen"/>
          <w:lang w:val="ka-GE"/>
        </w:rPr>
        <w:t>შ</w:t>
      </w:r>
      <w:r w:rsidRPr="00163AF5">
        <w:rPr>
          <w:rFonts w:ascii="Sylfaen" w:hAnsi="Sylfaen" w:cs="Sylfaen"/>
          <w:lang w:val="ka-GE"/>
        </w:rPr>
        <w:t>ი</w:t>
      </w:r>
      <w:r w:rsidR="00D02123">
        <w:rPr>
          <w:rFonts w:ascii="Sylfaen" w:hAnsi="Sylfaen" w:cs="Sylfaen"/>
          <w:lang w:val="ka-GE"/>
        </w:rPr>
        <w:t xml:space="preserve">, რომელიც მომზადდა </w:t>
      </w:r>
      <w:r w:rsidR="008C1EB7" w:rsidRPr="00163AF5">
        <w:rPr>
          <w:rFonts w:ascii="Sylfaen" w:hAnsi="Sylfaen" w:cs="Sylfaen"/>
          <w:lang w:val="ka-GE"/>
        </w:rPr>
        <w:t>2021 წლის დეკემბერ</w:t>
      </w:r>
      <w:r w:rsidR="00D02123">
        <w:rPr>
          <w:rFonts w:ascii="Sylfaen" w:hAnsi="Sylfaen" w:cs="Sylfaen"/>
          <w:lang w:val="ka-GE"/>
        </w:rPr>
        <w:t>შ</w:t>
      </w:r>
      <w:r w:rsidR="008C1EB7" w:rsidRPr="00163AF5">
        <w:rPr>
          <w:rFonts w:ascii="Sylfaen" w:hAnsi="Sylfaen" w:cs="Sylfaen"/>
          <w:lang w:val="ka-GE"/>
        </w:rPr>
        <w:t>ი</w:t>
      </w:r>
      <w:r w:rsidRPr="00163AF5">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w:t>
      </w:r>
      <w:r w:rsidR="00487C3E" w:rsidRPr="00163AF5">
        <w:rPr>
          <w:rFonts w:ascii="Sylfaen" w:hAnsi="Sylfaen" w:cs="Sylfaen"/>
          <w:lang w:val="ka-GE"/>
        </w:rPr>
        <w:t>2022 წლის  განმავლობაში, არ</w:t>
      </w:r>
      <w:r w:rsidRPr="00163AF5">
        <w:rPr>
          <w:rFonts w:ascii="Sylfaen" w:hAnsi="Sylfaen" w:cs="Sylfaen"/>
          <w:lang w:val="ka-GE"/>
        </w:rPr>
        <w:t>სებული დადებითი ტენდენციებიდან გამომდინარე</w:t>
      </w:r>
      <w:r w:rsidR="00487C3E" w:rsidRPr="00163AF5">
        <w:rPr>
          <w:rFonts w:ascii="Sylfaen" w:hAnsi="Sylfaen" w:cs="Sylfaen"/>
          <w:lang w:val="ka-GE"/>
        </w:rPr>
        <w:t xml:space="preserve">, </w:t>
      </w:r>
      <w:r w:rsidRPr="00163AF5">
        <w:rPr>
          <w:rFonts w:ascii="Sylfaen" w:hAnsi="Sylfaen" w:cs="Sylfaen"/>
          <w:lang w:val="ka-GE"/>
        </w:rPr>
        <w:t>განახლ</w:t>
      </w:r>
      <w:r w:rsidR="00487C3E" w:rsidRPr="00163AF5">
        <w:rPr>
          <w:rFonts w:ascii="Sylfaen" w:hAnsi="Sylfaen" w:cs="Sylfaen"/>
          <w:lang w:val="ka-GE"/>
        </w:rPr>
        <w:t>და</w:t>
      </w:r>
      <w:r w:rsidRPr="00163AF5">
        <w:rPr>
          <w:rFonts w:ascii="Sylfaen" w:hAnsi="Sylfaen" w:cs="Sylfaen"/>
          <w:lang w:val="ka-GE"/>
        </w:rPr>
        <w:t xml:space="preserve"> პროგნოზები</w:t>
      </w:r>
      <w:r w:rsidR="00392190" w:rsidRPr="00163AF5">
        <w:rPr>
          <w:rFonts w:ascii="Sylfaen" w:hAnsi="Sylfaen" w:cs="Sylfaen"/>
          <w:lang w:val="ka-GE"/>
        </w:rPr>
        <w:t xml:space="preserve"> </w:t>
      </w:r>
      <w:r w:rsidR="00487C3E" w:rsidRPr="00163AF5">
        <w:rPr>
          <w:rFonts w:ascii="Sylfaen" w:hAnsi="Sylfaen" w:cs="Sylfaen"/>
          <w:lang w:val="ka-GE"/>
        </w:rPr>
        <w:t xml:space="preserve">და </w:t>
      </w:r>
      <w:r w:rsidR="00392190" w:rsidRPr="00163AF5">
        <w:rPr>
          <w:rFonts w:ascii="Sylfaen" w:hAnsi="Sylfaen" w:cs="Sylfaen"/>
          <w:lang w:val="ka-GE"/>
        </w:rPr>
        <w:t>აისახა 2022 წლის სახელმწიფო ბიუჯეტის კანონში ცვლილებ</w:t>
      </w:r>
      <w:r w:rsidR="00487C3E" w:rsidRPr="00163AF5">
        <w:rPr>
          <w:rFonts w:ascii="Sylfaen" w:hAnsi="Sylfaen" w:cs="Sylfaen"/>
          <w:lang w:val="ka-GE"/>
        </w:rPr>
        <w:t>ებ</w:t>
      </w:r>
      <w:r w:rsidR="00243E61" w:rsidRPr="00163AF5">
        <w:rPr>
          <w:rFonts w:ascii="Sylfaen" w:hAnsi="Sylfaen" w:cs="Sylfaen"/>
          <w:lang w:val="ka-GE"/>
        </w:rPr>
        <w:t>ის დროს</w:t>
      </w:r>
      <w:r w:rsidR="00487C3E" w:rsidRPr="00163AF5">
        <w:rPr>
          <w:rFonts w:ascii="Sylfaen" w:hAnsi="Sylfaen" w:cs="Sylfaen"/>
          <w:lang w:val="ka-GE"/>
        </w:rPr>
        <w:t>. 2022 წელს ნაერთი ბიუჯეტის შემოსავლები მნიშვნელოვნად 2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 მშპ-ის 27%.</w:t>
      </w:r>
    </w:p>
    <w:p w:rsidR="00163AF5" w:rsidRDefault="00D04BEA" w:rsidP="00D04BEA">
      <w:pPr>
        <w:spacing w:after="0" w:line="276" w:lineRule="auto"/>
        <w:ind w:firstLine="720"/>
        <w:jc w:val="both"/>
        <w:rPr>
          <w:rFonts w:ascii="Sylfaen" w:hAnsi="Sylfaen" w:cs="Sylfaen"/>
          <w:bCs/>
          <w:noProof/>
          <w:lang w:val="ka-GE"/>
        </w:rPr>
      </w:pPr>
      <w:r w:rsidRPr="00D707E6">
        <w:rPr>
          <w:rFonts w:ascii="Sylfaen" w:hAnsi="Sylfaen" w:cs="Sylfaen"/>
          <w:lang w:val="ka-GE"/>
        </w:rPr>
        <w:t xml:space="preserve">2023 წლის  სახელმწიფო ბიუჯეტის პროექტთან ერთად მომზადებული </w:t>
      </w:r>
      <w:r w:rsidR="00F23BC2" w:rsidRPr="00D707E6">
        <w:rPr>
          <w:rFonts w:ascii="Sylfaen" w:hAnsi="Sylfaen" w:cs="Sylfaen"/>
          <w:bCs/>
          <w:noProof/>
          <w:lang w:val="ka-GE"/>
        </w:rPr>
        <w:t xml:space="preserve">2023 წლის  პროგნოზით ნაერთი ბიუჯეტის </w:t>
      </w:r>
      <w:r w:rsidR="0094642B" w:rsidRPr="00D707E6">
        <w:rPr>
          <w:rFonts w:ascii="Sylfaen" w:hAnsi="Sylfaen" w:cs="Sylfaen"/>
          <w:bCs/>
          <w:noProof/>
          <w:lang w:val="ka-GE"/>
        </w:rPr>
        <w:t>შემოსავლებმა</w:t>
      </w:r>
      <w:r w:rsidR="00F23BC2" w:rsidRPr="00D707E6">
        <w:rPr>
          <w:rFonts w:ascii="Sylfaen" w:hAnsi="Sylfaen" w:cs="Sylfaen"/>
          <w:bCs/>
          <w:noProof/>
          <w:lang w:val="ka-GE"/>
        </w:rPr>
        <w:t xml:space="preserve"> ნომინალურ გამოხატულებაში </w:t>
      </w:r>
      <w:r w:rsidR="009B18F3" w:rsidRPr="00D707E6">
        <w:rPr>
          <w:rFonts w:ascii="Sylfaen" w:hAnsi="Sylfaen" w:cs="Sylfaen"/>
          <w:bCs/>
          <w:noProof/>
          <w:lang w:val="ka-GE"/>
        </w:rPr>
        <w:t>20 </w:t>
      </w:r>
      <w:r w:rsidR="007E59A3" w:rsidRPr="00D707E6">
        <w:rPr>
          <w:rFonts w:ascii="Sylfaen" w:hAnsi="Sylfaen" w:cs="Sylfaen"/>
          <w:bCs/>
          <w:noProof/>
        </w:rPr>
        <w:t>8</w:t>
      </w:r>
      <w:r w:rsidR="009B18F3" w:rsidRPr="00D707E6">
        <w:rPr>
          <w:rFonts w:ascii="Sylfaen" w:hAnsi="Sylfaen" w:cs="Sylfaen"/>
          <w:bCs/>
          <w:noProof/>
          <w:lang w:val="ka-GE"/>
        </w:rPr>
        <w:t>0</w:t>
      </w:r>
      <w:r w:rsidR="007E59A3" w:rsidRPr="00D707E6">
        <w:rPr>
          <w:rFonts w:ascii="Sylfaen" w:hAnsi="Sylfaen" w:cs="Sylfaen"/>
          <w:bCs/>
          <w:noProof/>
        </w:rPr>
        <w:t>5</w:t>
      </w:r>
      <w:r w:rsidR="009B18F3" w:rsidRPr="00D707E6">
        <w:rPr>
          <w:rFonts w:ascii="Sylfaen" w:hAnsi="Sylfaen" w:cs="Sylfaen"/>
          <w:bCs/>
          <w:noProof/>
          <w:lang w:val="ka-GE"/>
        </w:rPr>
        <w:t>,0</w:t>
      </w:r>
      <w:r w:rsidR="00F23BC2" w:rsidRPr="00D707E6">
        <w:rPr>
          <w:rFonts w:ascii="Sylfaen" w:hAnsi="Sylfaen" w:cs="Sylfaen"/>
          <w:bCs/>
          <w:noProof/>
          <w:lang w:val="ka-GE"/>
        </w:rPr>
        <w:t xml:space="preserve"> მლნ ლარ</w:t>
      </w:r>
      <w:r w:rsidRPr="00D707E6">
        <w:rPr>
          <w:rFonts w:ascii="Sylfaen" w:hAnsi="Sylfaen" w:cs="Sylfaen"/>
          <w:bCs/>
          <w:noProof/>
          <w:lang w:val="ka-GE"/>
        </w:rPr>
        <w:t>ი</w:t>
      </w:r>
      <w:r w:rsidR="00F23BC2" w:rsidRPr="00D707E6">
        <w:rPr>
          <w:rFonts w:ascii="Sylfaen" w:hAnsi="Sylfaen" w:cs="Sylfaen"/>
          <w:bCs/>
          <w:noProof/>
          <w:lang w:val="ka-GE"/>
        </w:rPr>
        <w:t xml:space="preserve"> </w:t>
      </w:r>
      <w:r w:rsidRPr="00D707E6">
        <w:rPr>
          <w:rFonts w:ascii="Sylfaen" w:hAnsi="Sylfaen" w:cs="Sylfaen"/>
          <w:bCs/>
          <w:noProof/>
          <w:lang w:val="ka-GE"/>
        </w:rPr>
        <w:t>შეადგი</w:t>
      </w:r>
      <w:r w:rsidR="00F23BC2" w:rsidRPr="00D707E6">
        <w:rPr>
          <w:rFonts w:ascii="Sylfaen" w:hAnsi="Sylfaen" w:cs="Sylfaen"/>
          <w:bCs/>
          <w:noProof/>
          <w:lang w:val="ka-GE"/>
        </w:rPr>
        <w:t>ნ</w:t>
      </w:r>
      <w:r w:rsidRPr="00D707E6">
        <w:rPr>
          <w:rFonts w:ascii="Sylfaen" w:hAnsi="Sylfaen" w:cs="Sylfaen"/>
          <w:bCs/>
          <w:noProof/>
          <w:lang w:val="ka-GE"/>
        </w:rPr>
        <w:t>ა</w:t>
      </w:r>
      <w:r w:rsidR="007E59A3" w:rsidRPr="00D707E6">
        <w:rPr>
          <w:rFonts w:ascii="Sylfaen" w:hAnsi="Sylfaen" w:cs="Sylfaen"/>
          <w:bCs/>
          <w:noProof/>
          <w:lang w:val="ka-GE"/>
        </w:rPr>
        <w:t xml:space="preserve">, რაც </w:t>
      </w:r>
      <w:r w:rsidR="00F23BC2" w:rsidRPr="00D707E6">
        <w:rPr>
          <w:rFonts w:ascii="Sylfaen" w:hAnsi="Sylfaen" w:cs="Sylfaen"/>
          <w:bCs/>
          <w:noProof/>
          <w:lang w:val="ka-GE"/>
        </w:rPr>
        <w:t>მშპ-სთან მიმართებაში 2</w:t>
      </w:r>
      <w:r w:rsidR="007E59A3" w:rsidRPr="00D707E6">
        <w:rPr>
          <w:rFonts w:ascii="Sylfaen" w:hAnsi="Sylfaen" w:cs="Sylfaen"/>
          <w:bCs/>
          <w:noProof/>
          <w:lang w:val="ka-GE"/>
        </w:rPr>
        <w:t>6</w:t>
      </w:r>
      <w:r w:rsidR="009B18F3" w:rsidRPr="00D707E6">
        <w:rPr>
          <w:rFonts w:ascii="Sylfaen" w:hAnsi="Sylfaen" w:cs="Sylfaen"/>
          <w:bCs/>
          <w:noProof/>
          <w:lang w:val="ka-GE"/>
        </w:rPr>
        <w:t>,</w:t>
      </w:r>
      <w:r w:rsidR="007E59A3" w:rsidRPr="00D707E6">
        <w:rPr>
          <w:rFonts w:ascii="Sylfaen" w:hAnsi="Sylfaen" w:cs="Sylfaen"/>
          <w:bCs/>
          <w:noProof/>
          <w:lang w:val="ka-GE"/>
        </w:rPr>
        <w:t>1</w:t>
      </w:r>
      <w:r w:rsidR="00F23BC2" w:rsidRPr="00D707E6">
        <w:rPr>
          <w:rFonts w:ascii="Sylfaen" w:hAnsi="Sylfaen" w:cs="Sylfaen"/>
          <w:bCs/>
          <w:noProof/>
          <w:lang w:val="ka-GE"/>
        </w:rPr>
        <w:t>%-</w:t>
      </w:r>
      <w:r w:rsidRPr="00D707E6">
        <w:rPr>
          <w:rFonts w:ascii="Sylfaen" w:hAnsi="Sylfaen" w:cs="Sylfaen"/>
          <w:bCs/>
          <w:noProof/>
          <w:lang w:val="ka-GE"/>
        </w:rPr>
        <w:t>ია, თუმცა მიმდინარე წელს გადამუშავებული მოსალოდნელი მაჩვენებლების მიხედვით საგადასახადო შემოსავლები გაზრდილია</w:t>
      </w:r>
      <w:r w:rsidR="00163AF5">
        <w:rPr>
          <w:rFonts w:ascii="Sylfaen" w:hAnsi="Sylfaen" w:cs="Sylfaen"/>
          <w:bCs/>
          <w:noProof/>
          <w:lang w:val="ka-GE"/>
        </w:rPr>
        <w:t xml:space="preserve"> 410,0 მლნ ლარით</w:t>
      </w:r>
      <w:r w:rsidRPr="00D707E6">
        <w:rPr>
          <w:rFonts w:ascii="Sylfaen" w:hAnsi="Sylfaen" w:cs="Sylfaen"/>
          <w:bCs/>
          <w:noProof/>
          <w:lang w:val="ka-GE"/>
        </w:rPr>
        <w:t xml:space="preserve"> </w:t>
      </w:r>
      <w:r w:rsidR="00163AF5">
        <w:rPr>
          <w:rFonts w:ascii="Sylfaen" w:hAnsi="Sylfaen" w:cs="Sylfaen"/>
          <w:bCs/>
          <w:noProof/>
          <w:lang w:val="ka-GE"/>
        </w:rPr>
        <w:t xml:space="preserve">და შეადგენს </w:t>
      </w:r>
      <w:r w:rsidRPr="00D707E6">
        <w:rPr>
          <w:rFonts w:ascii="Sylfaen" w:hAnsi="Sylfaen" w:cs="Sylfaen"/>
          <w:bCs/>
          <w:noProof/>
          <w:lang w:val="ka-GE"/>
        </w:rPr>
        <w:t>21 215.0 მლნ ლარ</w:t>
      </w:r>
      <w:r w:rsidR="00163AF5">
        <w:rPr>
          <w:rFonts w:ascii="Sylfaen" w:hAnsi="Sylfaen" w:cs="Sylfaen"/>
          <w:bCs/>
          <w:noProof/>
          <w:lang w:val="ka-GE"/>
        </w:rPr>
        <w:t>ს, რაც მშპ-ს 27,2%-ია</w:t>
      </w:r>
      <w:r w:rsidR="007716A2" w:rsidRPr="00D707E6">
        <w:rPr>
          <w:rFonts w:ascii="Sylfaen" w:hAnsi="Sylfaen" w:cs="Sylfaen"/>
          <w:bCs/>
          <w:noProof/>
          <w:lang w:val="ka-GE"/>
        </w:rPr>
        <w:t xml:space="preserve"> </w:t>
      </w:r>
      <w:r w:rsidR="00163AF5">
        <w:rPr>
          <w:rFonts w:ascii="Sylfaen" w:hAnsi="Sylfaen" w:cs="Sylfaen"/>
          <w:bCs/>
          <w:noProof/>
          <w:lang w:val="ka-GE"/>
        </w:rPr>
        <w:t xml:space="preserve">(აღნიშნული </w:t>
      </w:r>
      <w:r w:rsidR="007716A2" w:rsidRPr="00D707E6">
        <w:rPr>
          <w:rFonts w:ascii="Sylfaen" w:hAnsi="Sylfaen" w:cs="Sylfaen"/>
          <w:bCs/>
          <w:noProof/>
          <w:lang w:val="ka-GE"/>
        </w:rPr>
        <w:t xml:space="preserve">საგადასახადო </w:t>
      </w:r>
      <w:r w:rsidR="00487C3E" w:rsidRPr="00D707E6">
        <w:rPr>
          <w:rFonts w:ascii="Sylfaen" w:hAnsi="Sylfaen" w:cs="Sylfaen"/>
          <w:bCs/>
          <w:noProof/>
          <w:lang w:val="ka-GE"/>
        </w:rPr>
        <w:t xml:space="preserve">და სხვა </w:t>
      </w:r>
      <w:r w:rsidR="007716A2" w:rsidRPr="00D707E6">
        <w:rPr>
          <w:rFonts w:ascii="Sylfaen" w:hAnsi="Sylfaen" w:cs="Sylfaen"/>
          <w:bCs/>
          <w:noProof/>
          <w:lang w:val="ka-GE"/>
        </w:rPr>
        <w:t>შემოსავლების ზრდით არის განპირობებული</w:t>
      </w:r>
      <w:r w:rsidRPr="00D707E6">
        <w:rPr>
          <w:rFonts w:ascii="Sylfaen" w:hAnsi="Sylfaen" w:cs="Sylfaen"/>
          <w:bCs/>
          <w:noProof/>
          <w:lang w:val="ka-GE"/>
        </w:rPr>
        <w:t>)</w:t>
      </w:r>
      <w:r w:rsidR="00163AF5">
        <w:rPr>
          <w:rFonts w:ascii="Sylfaen" w:hAnsi="Sylfaen" w:cs="Sylfaen"/>
          <w:bCs/>
          <w:noProof/>
          <w:lang w:val="ka-GE"/>
        </w:rPr>
        <w:t xml:space="preserve"> </w:t>
      </w:r>
      <w:r w:rsidR="00D02123">
        <w:rPr>
          <w:rFonts w:ascii="Sylfaen" w:hAnsi="Sylfaen" w:cs="Sylfaen"/>
          <w:bCs/>
          <w:noProof/>
          <w:lang w:val="ka-GE"/>
        </w:rPr>
        <w:t xml:space="preserve">მიმდინარე წლის </w:t>
      </w:r>
      <w:r w:rsidR="00163AF5">
        <w:rPr>
          <w:rFonts w:ascii="Sylfaen" w:hAnsi="Sylfaen" w:cs="Sylfaen"/>
          <w:bCs/>
          <w:noProof/>
          <w:lang w:val="ka-GE"/>
        </w:rPr>
        <w:t>ივლისში მომზადებული პროგნოზით, ხოლო 2024 წლის სახელმწიფო ბიუჯეტის პროექტზე თანდართულ პროგნოზებში</w:t>
      </w:r>
      <w:r w:rsidR="004B4018">
        <w:rPr>
          <w:rFonts w:ascii="Sylfaen" w:hAnsi="Sylfaen" w:cs="Sylfaen"/>
          <w:bCs/>
          <w:noProof/>
          <w:lang w:val="ka-GE"/>
        </w:rPr>
        <w:t>,</w:t>
      </w:r>
      <w:r w:rsidR="00163AF5">
        <w:rPr>
          <w:rFonts w:ascii="Sylfaen" w:hAnsi="Sylfaen" w:cs="Sylfaen"/>
          <w:bCs/>
          <w:noProof/>
          <w:lang w:val="ka-GE"/>
        </w:rPr>
        <w:t xml:space="preserve"> აღნიშნული მაჩვენებელი დამატებით 425,0 მლნ ლარით არის გაზრდილი და შეადგენს 21 640,0 მლნ ლარს</w:t>
      </w:r>
      <w:r w:rsidRPr="00D707E6">
        <w:rPr>
          <w:rFonts w:ascii="Sylfaen" w:hAnsi="Sylfaen" w:cs="Sylfaen"/>
          <w:bCs/>
          <w:noProof/>
          <w:lang w:val="ka-GE"/>
        </w:rPr>
        <w:t>, რაც მშპ-ის</w:t>
      </w:r>
      <w:r w:rsidR="00163AF5">
        <w:rPr>
          <w:rFonts w:ascii="Sylfaen" w:hAnsi="Sylfaen" w:cs="Sylfaen"/>
          <w:bCs/>
          <w:noProof/>
          <w:lang w:val="ka-GE"/>
        </w:rPr>
        <w:t xml:space="preserve"> 27.5</w:t>
      </w:r>
      <w:r w:rsidRPr="00D707E6">
        <w:rPr>
          <w:rFonts w:ascii="Sylfaen" w:hAnsi="Sylfaen" w:cs="Sylfaen"/>
          <w:bCs/>
          <w:noProof/>
          <w:lang w:val="ka-GE"/>
        </w:rPr>
        <w:t>%-ს შეადგენს</w:t>
      </w:r>
      <w:r w:rsidR="00163AF5">
        <w:rPr>
          <w:rFonts w:ascii="Sylfaen" w:hAnsi="Sylfaen" w:cs="Sylfaen"/>
          <w:bCs/>
          <w:noProof/>
          <w:lang w:val="ka-GE"/>
        </w:rPr>
        <w:t xml:space="preserve">. </w:t>
      </w:r>
    </w:p>
    <w:p w:rsidR="00F23BC2" w:rsidRPr="00D707E6" w:rsidRDefault="00163AF5" w:rsidP="00D04BEA">
      <w:pPr>
        <w:spacing w:after="0" w:line="276" w:lineRule="auto"/>
        <w:ind w:firstLine="720"/>
        <w:jc w:val="both"/>
        <w:rPr>
          <w:rFonts w:ascii="Sylfaen" w:hAnsi="Sylfaen" w:cs="Sylfaen"/>
          <w:lang w:val="ka-GE"/>
        </w:rPr>
      </w:pPr>
      <w:r>
        <w:rPr>
          <w:rFonts w:ascii="Sylfaen" w:hAnsi="Sylfaen" w:cs="Sylfaen"/>
          <w:bCs/>
          <w:noProof/>
          <w:lang w:val="ka-GE"/>
        </w:rPr>
        <w:t xml:space="preserve">2024 წლის ნაერთი ბიუჯეტის შემოსავლები პროგნოზირებულია 23 522,0 მლნ ლარის ოდენობით, რაც </w:t>
      </w:r>
      <w:r w:rsidR="00D04BEA" w:rsidRPr="00D707E6">
        <w:rPr>
          <w:rFonts w:ascii="Sylfaen" w:hAnsi="Sylfaen" w:cs="Sylfaen"/>
          <w:bCs/>
          <w:noProof/>
          <w:lang w:val="ka-GE"/>
        </w:rPr>
        <w:t xml:space="preserve"> ხოლო</w:t>
      </w:r>
      <w:r w:rsidR="00F23BC2" w:rsidRPr="00D707E6">
        <w:rPr>
          <w:rFonts w:ascii="Sylfaen" w:hAnsi="Sylfaen" w:cs="Sylfaen"/>
          <w:bCs/>
          <w:noProof/>
          <w:lang w:val="ka-GE"/>
        </w:rPr>
        <w:t xml:space="preserve"> საშუალოვადიან </w:t>
      </w:r>
      <w:r w:rsidR="00AC2672" w:rsidRPr="00D707E6">
        <w:rPr>
          <w:rFonts w:ascii="Sylfaen" w:hAnsi="Sylfaen" w:cs="Sylfaen"/>
          <w:bCs/>
          <w:noProof/>
          <w:lang w:val="ka-GE"/>
        </w:rPr>
        <w:t>პერიოდის პროგნოზებში შენარჩუნებულია</w:t>
      </w:r>
      <w:r w:rsidR="00D04BEA" w:rsidRPr="00D707E6">
        <w:rPr>
          <w:rFonts w:ascii="Sylfaen" w:hAnsi="Sylfaen" w:cs="Sylfaen"/>
          <w:bCs/>
          <w:noProof/>
          <w:lang w:val="ka-GE"/>
        </w:rPr>
        <w:t xml:space="preserve"> საშუალოდ</w:t>
      </w:r>
      <w:r w:rsidR="007E59A3" w:rsidRPr="00D707E6">
        <w:rPr>
          <w:rFonts w:ascii="Sylfaen" w:hAnsi="Sylfaen" w:cs="Sylfaen"/>
          <w:bCs/>
          <w:noProof/>
          <w:lang w:val="ka-GE"/>
        </w:rPr>
        <w:t xml:space="preserve"> </w:t>
      </w:r>
      <w:r w:rsidR="00D04BEA" w:rsidRPr="00D707E6">
        <w:rPr>
          <w:rFonts w:ascii="Sylfaen" w:hAnsi="Sylfaen" w:cs="Sylfaen"/>
          <w:bCs/>
          <w:noProof/>
          <w:lang w:val="ka-GE"/>
        </w:rPr>
        <w:t xml:space="preserve">26,7%-ის </w:t>
      </w:r>
      <w:r w:rsidR="00F23BC2" w:rsidRPr="00D707E6">
        <w:rPr>
          <w:rFonts w:ascii="Sylfaen" w:hAnsi="Sylfaen" w:cs="Sylfaen"/>
          <w:bCs/>
          <w:noProof/>
          <w:lang w:val="ka-GE"/>
        </w:rPr>
        <w:t>ფარგლებში.</w:t>
      </w:r>
    </w:p>
    <w:p w:rsidR="00322175" w:rsidRDefault="008E2965" w:rsidP="008E2965">
      <w:pPr>
        <w:pStyle w:val="ListParagraph"/>
        <w:ind w:left="0" w:firstLine="720"/>
        <w:jc w:val="both"/>
        <w:rPr>
          <w:rFonts w:ascii="Sylfaen" w:hAnsi="Sylfaen" w:cs="Sylfaen"/>
          <w:lang w:val="ka-GE"/>
        </w:rPr>
      </w:pPr>
      <w:r w:rsidRPr="00D707E6">
        <w:rPr>
          <w:rFonts w:ascii="Sylfaen" w:hAnsi="Sylfaen" w:cs="Sylfaen"/>
          <w:lang w:val="ka-GE"/>
        </w:rPr>
        <w:t>შ</w:t>
      </w:r>
      <w:r w:rsidR="00175EEC" w:rsidRPr="00D707E6">
        <w:rPr>
          <w:rFonts w:ascii="Sylfaen" w:hAnsi="Sylfaen" w:cs="Sylfaen"/>
          <w:lang w:val="ka-GE"/>
        </w:rPr>
        <w:t>ემოსულობების პროგნოზების შედარება და მშპ-სთან პროცენტული ცვლილებები მოცემულია №</w:t>
      </w:r>
      <w:r w:rsidR="00291443" w:rsidRPr="00D707E6">
        <w:rPr>
          <w:rFonts w:ascii="Sylfaen" w:hAnsi="Sylfaen" w:cs="Sylfaen"/>
          <w:lang w:val="ka-GE"/>
        </w:rPr>
        <w:t>6</w:t>
      </w:r>
      <w:r w:rsidR="00175EEC" w:rsidRPr="00D707E6">
        <w:rPr>
          <w:rFonts w:ascii="Sylfaen" w:hAnsi="Sylfaen" w:cs="Sylfaen"/>
          <w:lang w:val="ka-GE"/>
        </w:rPr>
        <w:t xml:space="preserve"> ცხრილში:</w:t>
      </w:r>
    </w:p>
    <w:p w:rsidR="00322175" w:rsidRDefault="00322175">
      <w:pPr>
        <w:rPr>
          <w:rFonts w:ascii="Sylfaen" w:hAnsi="Sylfaen" w:cs="Sylfaen"/>
          <w:lang w:val="ka-GE"/>
        </w:rPr>
      </w:pPr>
      <w:r>
        <w:rPr>
          <w:rFonts w:ascii="Sylfaen" w:hAnsi="Sylfaen" w:cs="Sylfaen"/>
          <w:lang w:val="ka-GE"/>
        </w:rPr>
        <w:br w:type="page"/>
      </w:r>
    </w:p>
    <w:p w:rsidR="0040580D" w:rsidRDefault="0040580D" w:rsidP="008E2965">
      <w:pPr>
        <w:pStyle w:val="ListParagraph"/>
        <w:ind w:left="0" w:firstLine="720"/>
        <w:jc w:val="both"/>
        <w:rPr>
          <w:rFonts w:ascii="Sylfaen" w:hAnsi="Sylfaen" w:cs="Sylfaen"/>
          <w:lang w:val="ka-GE"/>
        </w:rPr>
      </w:pP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w:t>
      </w:r>
      <w:r w:rsidR="00C24549" w:rsidRPr="00322175">
        <w:rPr>
          <w:rFonts w:ascii="Sylfaen" w:hAnsi="Sylfaen" w:cs="Sylfaen"/>
          <w:b/>
          <w:bCs/>
          <w:noProof/>
          <w:sz w:val="20"/>
          <w:szCs w:val="22"/>
          <w:lang w:val="ka-GE"/>
        </w:rPr>
        <w:t>ილი №</w:t>
      </w:r>
      <w:r w:rsidR="00291443" w:rsidRPr="00322175">
        <w:rPr>
          <w:rFonts w:ascii="Sylfaen" w:hAnsi="Sylfaen" w:cs="Sylfaen"/>
          <w:b/>
          <w:bCs/>
          <w:noProof/>
          <w:sz w:val="20"/>
          <w:szCs w:val="22"/>
          <w:lang w:val="ka-GE"/>
        </w:rPr>
        <w:t>6</w:t>
      </w:r>
      <w:r w:rsidR="005E18E6" w:rsidRPr="00322175">
        <w:rPr>
          <w:rFonts w:ascii="Sylfaen" w:hAnsi="Sylfaen" w:cs="Sylfaen"/>
          <w:b/>
          <w:bCs/>
          <w:noProof/>
          <w:sz w:val="20"/>
          <w:szCs w:val="22"/>
          <w:lang w:val="ka-GE"/>
        </w:rPr>
        <w:t xml:space="preserve"> -</w:t>
      </w:r>
      <w:r w:rsidR="00A229BF" w:rsidRPr="00322175">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390" w:type="pct"/>
        <w:tblInd w:w="-431" w:type="dxa"/>
        <w:tblLook w:val="04A0" w:firstRow="1" w:lastRow="0" w:firstColumn="1" w:lastColumn="0" w:noHBand="0" w:noVBand="1"/>
      </w:tblPr>
      <w:tblGrid>
        <w:gridCol w:w="2694"/>
        <w:gridCol w:w="918"/>
        <w:gridCol w:w="918"/>
        <w:gridCol w:w="1101"/>
        <w:gridCol w:w="1101"/>
        <w:gridCol w:w="1101"/>
        <w:gridCol w:w="1101"/>
        <w:gridCol w:w="1101"/>
        <w:gridCol w:w="7"/>
        <w:gridCol w:w="1094"/>
        <w:gridCol w:w="7"/>
      </w:tblGrid>
      <w:tr w:rsidR="009B3D09" w:rsidRPr="009B3D09" w:rsidTr="009B3D09">
        <w:trPr>
          <w:gridAfter w:val="1"/>
          <w:wAfter w:w="3" w:type="pct"/>
          <w:trHeight w:val="113"/>
          <w:tblHeader/>
        </w:trPr>
        <w:tc>
          <w:tcPr>
            <w:tcW w:w="1209" w:type="pct"/>
            <w:vMerge w:val="restart"/>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დასახელება</w:t>
            </w:r>
          </w:p>
        </w:tc>
        <w:tc>
          <w:tcPr>
            <w:tcW w:w="412"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2020</w:t>
            </w:r>
          </w:p>
        </w:tc>
        <w:tc>
          <w:tcPr>
            <w:tcW w:w="412"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2021</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2022</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2023</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2024</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2025</w:t>
            </w:r>
          </w:p>
        </w:tc>
        <w:tc>
          <w:tcPr>
            <w:tcW w:w="49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2026</w:t>
            </w:r>
          </w:p>
        </w:tc>
        <w:tc>
          <w:tcPr>
            <w:tcW w:w="494" w:type="pct"/>
            <w:gridSpan w:val="2"/>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2027</w:t>
            </w:r>
          </w:p>
        </w:tc>
      </w:tr>
      <w:tr w:rsidR="009B3D09" w:rsidRPr="009B3D09" w:rsidTr="009B3D09">
        <w:trPr>
          <w:gridAfter w:val="1"/>
          <w:wAfter w:w="3" w:type="pct"/>
          <w:trHeight w:val="113"/>
          <w:tblHeader/>
        </w:trPr>
        <w:tc>
          <w:tcPr>
            <w:tcW w:w="1209" w:type="pct"/>
            <w:vMerge/>
            <w:tcBorders>
              <w:top w:val="single" w:sz="4" w:space="0" w:color="203764"/>
              <w:left w:val="single" w:sz="4" w:space="0" w:color="203764"/>
              <w:bottom w:val="single" w:sz="4" w:space="0" w:color="203764"/>
              <w:right w:val="single" w:sz="4" w:space="0" w:color="203764"/>
            </w:tcBorders>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ფაქტი</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ფაქტი</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შემოსავლები</w:t>
            </w:r>
          </w:p>
        </w:tc>
        <w:tc>
          <w:tcPr>
            <w:tcW w:w="412"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sz w:val="18"/>
                <w:szCs w:val="18"/>
              </w:rPr>
            </w:pPr>
            <w:r w:rsidRPr="009B3D09">
              <w:rPr>
                <w:rFonts w:ascii="Calibri" w:eastAsia="Times New Roman" w:hAnsi="Calibri" w:cs="Calibri"/>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12 626,0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13 402,0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14 969,0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16 331,0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17 827,0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12 407,0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14 928,0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17 205,0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18 228,0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19 732,0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21 266,0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-219,0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1 526,0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2 236,0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1 897,0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1 905,0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21 266,0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12 407,0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15 142,7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19 217,0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20 805,0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22 076,0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23 794,0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25 704,0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12 407,0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15 142,7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19 377,6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21 215,0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22 800,0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24 500,0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26 400,0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28 490,0</w:t>
            </w:r>
          </w:p>
        </w:tc>
      </w:tr>
      <w:tr w:rsidR="009B3D09" w:rsidRPr="009B3D09" w:rsidTr="009B3D09">
        <w:trPr>
          <w:gridAfter w:val="1"/>
          <w:wAfter w:w="3" w:type="pct"/>
          <w:trHeight w:val="368"/>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160,6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410,0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724,0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706,0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696,0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12 407,0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15 142,7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19 377,6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21 640,0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23 522,0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25 270,0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27 153,0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29 190,0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425,0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722,0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770,0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753,0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700,0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არაფინანსური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კლება</w:t>
            </w:r>
          </w:p>
        </w:tc>
        <w:tc>
          <w:tcPr>
            <w:tcW w:w="412"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12"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207,9</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480,0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57,9</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250,0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207,9</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421,7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207,9</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421,7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435,6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207,9</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421,7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435,6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300,0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250,0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250,0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კლება</w:t>
            </w:r>
          </w:p>
        </w:tc>
        <w:tc>
          <w:tcPr>
            <w:tcW w:w="412"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12"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115,0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115,0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115,0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167,4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37,4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15,0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130,0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167,4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142,2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440,0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167,4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142,2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102,4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440,0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-47,6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167,4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142,2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102,4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420,0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r>
      <w:tr w:rsidR="009B3D09" w:rsidRPr="009B3D09" w:rsidTr="009B3D09">
        <w:trPr>
          <w:trHeight w:val="113"/>
        </w:trPr>
        <w:tc>
          <w:tcPr>
            <w:tcW w:w="4506" w:type="pct"/>
            <w:gridSpan w:val="9"/>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მშპ</w:t>
            </w:r>
            <w:r w:rsidRPr="009B3D09">
              <w:rPr>
                <w:rFonts w:ascii="Arial" w:eastAsia="Times New Roman" w:hAnsi="Arial" w:cs="Arial"/>
                <w:b/>
                <w:bCs/>
                <w:sz w:val="18"/>
                <w:szCs w:val="18"/>
              </w:rPr>
              <w:t>-</w:t>
            </w:r>
            <w:r w:rsidRPr="009B3D09">
              <w:rPr>
                <w:rFonts w:ascii="Sylfaen" w:eastAsia="Times New Roman" w:hAnsi="Sylfaen" w:cs="Arial"/>
                <w:b/>
                <w:bCs/>
                <w:sz w:val="18"/>
                <w:szCs w:val="18"/>
              </w:rPr>
              <w:t>თან</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შემოსავლები</w:t>
            </w:r>
          </w:p>
        </w:tc>
        <w:tc>
          <w:tcPr>
            <w:tcW w:w="412"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412"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25,6%</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25,8%</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25,5%</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26,5%</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25,9%</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25,8%</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25,7%</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0,8%</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25,4%</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26,9%</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26,8%</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26,7%</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26,6%</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1,3%</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27,5%</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27,2%</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27,0%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0,5%</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r>
      <w:tr w:rsidR="009B3D09" w:rsidRPr="009B3D09" w:rsidTr="009B3D09">
        <w:trPr>
          <w:gridAfter w:val="1"/>
          <w:wAfter w:w="3" w:type="pct"/>
          <w:trHeight w:val="113"/>
        </w:trPr>
        <w:tc>
          <w:tcPr>
            <w:tcW w:w="4997" w:type="pct"/>
            <w:gridSpan w:val="10"/>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არაფინანსური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კლება</w:t>
            </w: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0,5%</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0,8%</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0,7%</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კლება</w:t>
            </w:r>
          </w:p>
        </w:tc>
        <w:tc>
          <w:tcPr>
            <w:tcW w:w="412"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2388"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94" w:type="pct"/>
            <w:gridSpan w:val="2"/>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0,5%</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r>
      <w:tr w:rsidR="009B3D09" w:rsidRPr="009B3D09" w:rsidTr="009B3D09">
        <w:trPr>
          <w:gridAfter w:val="1"/>
          <w:wAfter w:w="3" w:type="pct"/>
          <w:trHeight w:val="113"/>
        </w:trPr>
        <w:tc>
          <w:tcPr>
            <w:tcW w:w="1209"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4B4018" w:rsidP="009B3D09">
            <w:pPr>
              <w:spacing w:after="0" w:line="240" w:lineRule="auto"/>
              <w:jc w:val="center"/>
              <w:outlineLvl w:val="0"/>
              <w:rPr>
                <w:rFonts w:ascii="Arial" w:eastAsia="Times New Roman" w:hAnsi="Arial" w:cs="Arial"/>
                <w:i/>
                <w:iCs/>
                <w:sz w:val="18"/>
                <w:szCs w:val="18"/>
              </w:rPr>
            </w:pPr>
            <w:r>
              <w:rPr>
                <w:rFonts w:ascii="Arial" w:eastAsia="Times New Roman" w:hAnsi="Arial" w:cs="Arial"/>
                <w:i/>
                <w:iCs/>
                <w:sz w:val="18"/>
                <w:szCs w:val="18"/>
              </w:rPr>
              <w:t>0,0</w:t>
            </w:r>
            <w:r w:rsidR="009B3D09" w:rsidRPr="009B3D09">
              <w:rPr>
                <w:rFonts w:ascii="Arial" w:eastAsia="Times New Roman" w:hAnsi="Arial" w:cs="Arial"/>
                <w:i/>
                <w:iCs/>
                <w:sz w:val="18"/>
                <w:szCs w:val="18"/>
              </w:rPr>
              <w:t>%</w:t>
            </w:r>
          </w:p>
        </w:tc>
        <w:tc>
          <w:tcPr>
            <w:tcW w:w="412"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4B4018">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w:t>
            </w:r>
            <w:r w:rsidR="004B4018">
              <w:rPr>
                <w:rFonts w:eastAsia="Times New Roman" w:cs="Arial"/>
                <w:i/>
                <w:iCs/>
                <w:sz w:val="18"/>
                <w:szCs w:val="18"/>
                <w:lang w:val="ka-GE"/>
              </w:rPr>
              <w:t>0</w:t>
            </w:r>
            <w:r w:rsidRPr="009B3D09">
              <w:rPr>
                <w:rFonts w:ascii="Arial" w:eastAsia="Times New Roman" w:hAnsi="Arial" w:cs="Arial"/>
                <w:i/>
                <w:iCs/>
                <w:sz w:val="18"/>
                <w:szCs w:val="18"/>
              </w:rPr>
              <w:t>%</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4B4018" w:rsidP="009B3D09">
            <w:pPr>
              <w:spacing w:after="0" w:line="240" w:lineRule="auto"/>
              <w:jc w:val="center"/>
              <w:outlineLvl w:val="0"/>
              <w:rPr>
                <w:rFonts w:ascii="Arial" w:eastAsia="Times New Roman" w:hAnsi="Arial" w:cs="Arial"/>
                <w:i/>
                <w:iCs/>
                <w:sz w:val="18"/>
                <w:szCs w:val="18"/>
              </w:rPr>
            </w:pPr>
            <w:r>
              <w:rPr>
                <w:rFonts w:ascii="Arial" w:eastAsia="Times New Roman" w:hAnsi="Arial" w:cs="Arial"/>
                <w:i/>
                <w:iCs/>
                <w:sz w:val="18"/>
                <w:szCs w:val="18"/>
              </w:rPr>
              <w:t>0,0</w:t>
            </w:r>
            <w:r w:rsidR="009B3D09" w:rsidRPr="009B3D09">
              <w:rPr>
                <w:rFonts w:ascii="Arial" w:eastAsia="Times New Roman" w:hAnsi="Arial" w:cs="Arial"/>
                <w:i/>
                <w:iCs/>
                <w:sz w:val="18"/>
                <w:szCs w:val="18"/>
              </w:rPr>
              <w:t>%</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4B4018" w:rsidP="009B3D09">
            <w:pPr>
              <w:spacing w:after="0" w:line="240" w:lineRule="auto"/>
              <w:jc w:val="center"/>
              <w:outlineLvl w:val="0"/>
              <w:rPr>
                <w:rFonts w:ascii="Arial" w:eastAsia="Times New Roman" w:hAnsi="Arial" w:cs="Arial"/>
                <w:i/>
                <w:iCs/>
                <w:sz w:val="18"/>
                <w:szCs w:val="18"/>
              </w:rPr>
            </w:pPr>
            <w:r>
              <w:rPr>
                <w:rFonts w:ascii="Arial" w:eastAsia="Times New Roman" w:hAnsi="Arial" w:cs="Arial"/>
                <w:i/>
                <w:iCs/>
                <w:sz w:val="18"/>
                <w:szCs w:val="18"/>
              </w:rPr>
              <w:t>0,0</w:t>
            </w:r>
            <w:r w:rsidR="009B3D09" w:rsidRPr="009B3D09">
              <w:rPr>
                <w:rFonts w:ascii="Arial" w:eastAsia="Times New Roman" w:hAnsi="Arial" w:cs="Arial"/>
                <w:i/>
                <w:iCs/>
                <w:sz w:val="18"/>
                <w:szCs w:val="18"/>
              </w:rPr>
              <w:t>%</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4B4018" w:rsidP="009B3D09">
            <w:pPr>
              <w:spacing w:after="0" w:line="240" w:lineRule="auto"/>
              <w:jc w:val="center"/>
              <w:outlineLvl w:val="0"/>
              <w:rPr>
                <w:rFonts w:ascii="Arial" w:eastAsia="Times New Roman" w:hAnsi="Arial" w:cs="Arial"/>
                <w:i/>
                <w:iCs/>
                <w:sz w:val="18"/>
                <w:szCs w:val="18"/>
              </w:rPr>
            </w:pPr>
            <w:r>
              <w:rPr>
                <w:rFonts w:ascii="Arial" w:eastAsia="Times New Roman" w:hAnsi="Arial" w:cs="Arial"/>
                <w:i/>
                <w:iCs/>
                <w:sz w:val="18"/>
                <w:szCs w:val="18"/>
              </w:rPr>
              <w:t>0,2</w:t>
            </w:r>
            <w:r w:rsidR="009B3D09" w:rsidRPr="009B3D09">
              <w:rPr>
                <w:rFonts w:ascii="Arial" w:eastAsia="Times New Roman" w:hAnsi="Arial" w:cs="Arial"/>
                <w:i/>
                <w:iCs/>
                <w:sz w:val="18"/>
                <w:szCs w:val="18"/>
              </w:rPr>
              <w:t>%</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4B4018">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w:t>
            </w:r>
            <w:r w:rsidR="004B4018">
              <w:rPr>
                <w:rFonts w:eastAsia="Times New Roman" w:cs="Arial"/>
                <w:i/>
                <w:iCs/>
                <w:sz w:val="18"/>
                <w:szCs w:val="18"/>
                <w:lang w:val="ka-GE"/>
              </w:rPr>
              <w:t>0</w:t>
            </w:r>
            <w:r w:rsidRPr="009B3D09">
              <w:rPr>
                <w:rFonts w:ascii="Arial" w:eastAsia="Times New Roman" w:hAnsi="Arial" w:cs="Arial"/>
                <w:i/>
                <w:iCs/>
                <w:sz w:val="18"/>
                <w:szCs w:val="18"/>
              </w:rPr>
              <w:t>%</w:t>
            </w:r>
          </w:p>
        </w:tc>
        <w:tc>
          <w:tcPr>
            <w:tcW w:w="49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4B4018">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w:t>
            </w:r>
            <w:r w:rsidR="004B4018">
              <w:rPr>
                <w:rFonts w:eastAsia="Times New Roman" w:cs="Arial"/>
                <w:i/>
                <w:iCs/>
                <w:sz w:val="18"/>
                <w:szCs w:val="18"/>
                <w:lang w:val="ka-GE"/>
              </w:rPr>
              <w:t>0</w:t>
            </w:r>
            <w:r w:rsidRPr="009B3D09">
              <w:rPr>
                <w:rFonts w:ascii="Arial" w:eastAsia="Times New Roman" w:hAnsi="Arial" w:cs="Arial"/>
                <w:i/>
                <w:iCs/>
                <w:sz w:val="18"/>
                <w:szCs w:val="18"/>
              </w:rPr>
              <w:t>%</w:t>
            </w:r>
          </w:p>
        </w:tc>
        <w:tc>
          <w:tcPr>
            <w:tcW w:w="494" w:type="pct"/>
            <w:gridSpan w:val="2"/>
            <w:tcBorders>
              <w:top w:val="nil"/>
              <w:left w:val="nil"/>
              <w:bottom w:val="single" w:sz="4" w:space="0" w:color="203764"/>
              <w:right w:val="single" w:sz="4" w:space="0" w:color="203764"/>
            </w:tcBorders>
            <w:shd w:val="clear" w:color="auto" w:fill="auto"/>
            <w:noWrap/>
            <w:vAlign w:val="center"/>
            <w:hideMark/>
          </w:tcPr>
          <w:p w:rsidR="009B3D09" w:rsidRPr="009B3D09" w:rsidRDefault="004B4018" w:rsidP="009B3D09">
            <w:pPr>
              <w:spacing w:after="0" w:line="240" w:lineRule="auto"/>
              <w:jc w:val="center"/>
              <w:outlineLvl w:val="0"/>
              <w:rPr>
                <w:rFonts w:ascii="Arial" w:eastAsia="Times New Roman" w:hAnsi="Arial" w:cs="Arial"/>
                <w:i/>
                <w:iCs/>
                <w:sz w:val="18"/>
                <w:szCs w:val="18"/>
              </w:rPr>
            </w:pPr>
            <w:r>
              <w:rPr>
                <w:rFonts w:ascii="Arial" w:eastAsia="Times New Roman" w:hAnsi="Arial" w:cs="Arial"/>
                <w:i/>
                <w:iCs/>
                <w:sz w:val="18"/>
                <w:szCs w:val="18"/>
              </w:rPr>
              <w:t>0,0</w:t>
            </w:r>
            <w:r w:rsidR="009B3D09" w:rsidRPr="009B3D09">
              <w:rPr>
                <w:rFonts w:ascii="Arial" w:eastAsia="Times New Roman" w:hAnsi="Arial" w:cs="Arial"/>
                <w:i/>
                <w:iCs/>
                <w:sz w:val="18"/>
                <w:szCs w:val="18"/>
              </w:rPr>
              <w:t>%</w:t>
            </w:r>
          </w:p>
        </w:tc>
      </w:tr>
    </w:tbl>
    <w:p w:rsidR="00DE1017" w:rsidRDefault="00DE1017" w:rsidP="00DE10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94642B" w:rsidRPr="00322175" w:rsidRDefault="00A60FDC" w:rsidP="00252FF9">
      <w:pPr>
        <w:spacing w:after="0" w:line="276" w:lineRule="auto"/>
        <w:ind w:firstLine="720"/>
        <w:jc w:val="both"/>
        <w:rPr>
          <w:rFonts w:ascii="Sylfaen" w:hAnsi="Sylfaen" w:cs="Sylfaen"/>
          <w:lang w:val="ka-GE"/>
        </w:rPr>
      </w:pPr>
      <w:r w:rsidRPr="00322175">
        <w:rPr>
          <w:rFonts w:ascii="Sylfaen" w:hAnsi="Sylfaen"/>
          <w:lang w:val="ka-GE"/>
        </w:rPr>
        <w:t>2020</w:t>
      </w:r>
      <w:r w:rsidR="006F5CB5" w:rsidRPr="00322175">
        <w:rPr>
          <w:rFonts w:ascii="Sylfaen" w:hAnsi="Sylfaen"/>
          <w:lang w:val="ka-GE"/>
        </w:rPr>
        <w:t xml:space="preserve"> და</w:t>
      </w:r>
      <w:r w:rsidR="009C4B89" w:rsidRPr="00322175">
        <w:rPr>
          <w:rFonts w:ascii="Sylfaen" w:hAnsi="Sylfaen"/>
          <w:lang w:val="ka-GE"/>
        </w:rPr>
        <w:t xml:space="preserve"> </w:t>
      </w:r>
      <w:r w:rsidRPr="00322175">
        <w:rPr>
          <w:rFonts w:ascii="Sylfaen" w:hAnsi="Sylfaen"/>
          <w:lang w:val="ka-GE"/>
        </w:rPr>
        <w:t>2021 წ</w:t>
      </w:r>
      <w:r w:rsidR="006F5CB5" w:rsidRPr="00322175">
        <w:rPr>
          <w:rFonts w:ascii="Sylfaen" w:hAnsi="Sylfaen"/>
          <w:lang w:val="ka-GE"/>
        </w:rPr>
        <w:t>ლ</w:t>
      </w:r>
      <w:r w:rsidRPr="00322175">
        <w:rPr>
          <w:rFonts w:ascii="Sylfaen" w:hAnsi="Sylfaen"/>
          <w:lang w:val="ka-GE"/>
        </w:rPr>
        <w:t>ებ</w:t>
      </w:r>
      <w:r w:rsidR="00E655E3" w:rsidRPr="00322175">
        <w:rPr>
          <w:rFonts w:ascii="Sylfaen" w:hAnsi="Sylfaen"/>
          <w:lang w:val="ka-GE"/>
        </w:rPr>
        <w:t>შ</w:t>
      </w:r>
      <w:r w:rsidR="006F5CB5" w:rsidRPr="00322175">
        <w:rPr>
          <w:rFonts w:ascii="Sylfaen" w:hAnsi="Sylfaen"/>
          <w:lang w:val="ka-GE"/>
        </w:rPr>
        <w:t xml:space="preserve">ი, </w:t>
      </w:r>
      <w:r w:rsidRPr="00322175">
        <w:rPr>
          <w:rFonts w:ascii="Sylfaen" w:hAnsi="Sylfaen"/>
          <w:lang w:val="ka-GE"/>
        </w:rPr>
        <w:t>საგარეო ვალის აღებაში</w:t>
      </w:r>
      <w:r w:rsidR="006F5CB5" w:rsidRPr="00322175">
        <w:rPr>
          <w:rFonts w:ascii="Sylfaen" w:hAnsi="Sylfaen"/>
          <w:lang w:val="ka-GE"/>
        </w:rPr>
        <w:t xml:space="preserve"> ასახულია</w:t>
      </w:r>
      <w:r w:rsidRPr="00322175">
        <w:rPr>
          <w:rFonts w:ascii="Sylfaen" w:hAnsi="Sylfaen"/>
          <w:lang w:val="ka-GE"/>
        </w:rPr>
        <w:t xml:space="preserve"> პანდემიის გასამკლავებლად მოზიდული სახსრები. </w:t>
      </w:r>
      <w:r w:rsidR="00B609ED" w:rsidRPr="00322175">
        <w:rPr>
          <w:rFonts w:ascii="Sylfaen" w:hAnsi="Sylfaen"/>
          <w:lang w:val="ka-GE"/>
        </w:rPr>
        <w:t>ამასთან, 2022 წელს საგარეო ვალდებულებების შემცირება</w:t>
      </w:r>
      <w:r w:rsidR="008E26E9" w:rsidRPr="00322175">
        <w:rPr>
          <w:rFonts w:ascii="Sylfaen" w:hAnsi="Sylfaen"/>
          <w:lang w:val="ka-GE"/>
        </w:rPr>
        <w:t xml:space="preserve"> 2021 წელთან შედარებით</w:t>
      </w:r>
      <w:r w:rsidR="00B609ED" w:rsidRPr="00322175">
        <w:rPr>
          <w:rFonts w:ascii="Sylfaen" w:hAnsi="Sylfaen"/>
          <w:lang w:val="ka-GE"/>
        </w:rPr>
        <w:t xml:space="preserve"> დაკავშირებულია იმ გარემოებასთან, რომ 2021 წლის განხორციელდა </w:t>
      </w:r>
      <w:r w:rsidR="00B609ED" w:rsidRPr="00322175">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sidRPr="00322175">
        <w:rPr>
          <w:rFonts w:ascii="Sylfaen" w:hAnsi="Sylfaen" w:cs="Sylfaen"/>
          <w:lang w:val="ka-GE"/>
        </w:rPr>
        <w:t xml:space="preserve"> </w:t>
      </w:r>
    </w:p>
    <w:p w:rsidR="00392190" w:rsidRPr="009B18F3" w:rsidRDefault="00252FF9" w:rsidP="00252FF9">
      <w:pPr>
        <w:spacing w:after="0" w:line="276" w:lineRule="auto"/>
        <w:ind w:firstLine="720"/>
        <w:jc w:val="both"/>
        <w:rPr>
          <w:rFonts w:ascii="Sylfaen" w:hAnsi="Sylfaen" w:cs="Sylfaen"/>
          <w:lang w:val="ka-GE"/>
        </w:rPr>
      </w:pPr>
      <w:r w:rsidRPr="00322175">
        <w:rPr>
          <w:rFonts w:ascii="Sylfaen" w:hAnsi="Sylfaen" w:cs="Sylfaen"/>
          <w:lang w:val="ka-GE"/>
        </w:rPr>
        <w:t xml:space="preserve">ამასთან, </w:t>
      </w:r>
      <w:r w:rsidR="003D1E12" w:rsidRPr="00322175">
        <w:rPr>
          <w:rFonts w:ascii="Sylfaen" w:hAnsi="Sylfaen" w:cs="Sylfaen"/>
          <w:lang w:val="ka-GE"/>
        </w:rPr>
        <w:t>ჯამში ვალდებულებების ზრდა</w:t>
      </w:r>
      <w:r w:rsidRPr="00322175">
        <w:rPr>
          <w:rFonts w:ascii="Sylfaen" w:hAnsi="Sylfaen" w:cs="Sylfaen"/>
          <w:lang w:val="ka-GE"/>
        </w:rPr>
        <w:t xml:space="preserve"> 2023 </w:t>
      </w:r>
      <w:r w:rsidR="003D1E12" w:rsidRPr="00322175">
        <w:rPr>
          <w:rFonts w:ascii="Sylfaen" w:hAnsi="Sylfaen" w:cs="Sylfaen"/>
          <w:lang w:val="ka-GE"/>
        </w:rPr>
        <w:t>წ</w:t>
      </w:r>
      <w:r w:rsidRPr="00322175">
        <w:rPr>
          <w:rFonts w:ascii="Sylfaen" w:hAnsi="Sylfaen" w:cs="Sylfaen"/>
          <w:lang w:val="ka-GE"/>
        </w:rPr>
        <w:t xml:space="preserve">ელს </w:t>
      </w:r>
      <w:r w:rsidR="0094642B" w:rsidRPr="00322175">
        <w:rPr>
          <w:rFonts w:ascii="Sylfaen" w:hAnsi="Sylfaen" w:cs="Sylfaen"/>
          <w:lang w:val="ka-GE"/>
        </w:rPr>
        <w:t xml:space="preserve">და შემდგომ საშუალოვადიან პერიოდში </w:t>
      </w:r>
      <w:r w:rsidR="007E59A3" w:rsidRPr="00322175">
        <w:rPr>
          <w:rFonts w:ascii="Sylfaen" w:hAnsi="Sylfaen" w:cs="Sylfaen"/>
          <w:lang w:val="ka-GE"/>
        </w:rPr>
        <w:t xml:space="preserve">მცირედით გაზრდილია </w:t>
      </w:r>
      <w:r w:rsidR="007716A2" w:rsidRPr="00322175">
        <w:rPr>
          <w:rFonts w:ascii="Sylfaen" w:hAnsi="Sylfaen" w:cs="Sylfaen"/>
          <w:lang w:val="ka-GE"/>
        </w:rPr>
        <w:t>წინა წლის</w:t>
      </w:r>
      <w:r w:rsidR="007E59A3" w:rsidRPr="00322175">
        <w:rPr>
          <w:rFonts w:ascii="Sylfaen" w:hAnsi="Sylfaen" w:cs="Sylfaen"/>
          <w:lang w:val="ka-GE"/>
        </w:rPr>
        <w:t xml:space="preserve"> პროგნოზთან შედარებით</w:t>
      </w:r>
      <w:r w:rsidRPr="00322175">
        <w:rPr>
          <w:rFonts w:ascii="Sylfaen" w:hAnsi="Sylfaen" w:cs="Sylfaen"/>
          <w:lang w:val="ka-GE"/>
        </w:rPr>
        <w:t>.</w:t>
      </w:r>
    </w:p>
    <w:p w:rsidR="00322175" w:rsidRPr="00322175" w:rsidRDefault="00322175" w:rsidP="00322175">
      <w:pPr>
        <w:spacing w:after="0" w:line="276" w:lineRule="auto"/>
        <w:ind w:firstLine="720"/>
        <w:jc w:val="both"/>
        <w:rPr>
          <w:rFonts w:ascii="Sylfaen" w:hAnsi="Sylfaen" w:cs="Sylfaen"/>
          <w:lang w:val="ka-GE"/>
        </w:rPr>
      </w:pPr>
      <w:r w:rsidRPr="00322175">
        <w:rPr>
          <w:rFonts w:ascii="Sylfaen" w:hAnsi="Sylfaen" w:cs="Sylfaen"/>
          <w:lang w:val="ka-GE"/>
        </w:rPr>
        <w:t>2024 წელს ჯანმში ვალდებულებების ზრდა გათვალისწინებულია მშპ-ის 4%-ის ფარგლებში (</w:t>
      </w:r>
      <w:r>
        <w:rPr>
          <w:rFonts w:ascii="Sylfaen" w:hAnsi="Sylfaen" w:cs="Sylfaen"/>
          <w:lang w:val="ka-GE"/>
        </w:rPr>
        <w:t xml:space="preserve">მიმდინარე წლის </w:t>
      </w:r>
      <w:r w:rsidRPr="00322175">
        <w:rPr>
          <w:rFonts w:ascii="Sylfaen" w:hAnsi="Sylfaen" w:cs="Sylfaen"/>
          <w:lang w:val="ka-GE"/>
        </w:rPr>
        <w:t xml:space="preserve">ივლისის პროგნოზთან შედარებით </w:t>
      </w:r>
      <w:r>
        <w:rPr>
          <w:rFonts w:ascii="Sylfaen" w:hAnsi="Sylfaen" w:cs="Sylfaen"/>
          <w:lang w:val="ka-GE"/>
        </w:rPr>
        <w:t xml:space="preserve">აღნიშნული მაჩვენებელი </w:t>
      </w:r>
      <w:r w:rsidRPr="00322175">
        <w:rPr>
          <w:rFonts w:ascii="Sylfaen" w:hAnsi="Sylfaen" w:cs="Sylfaen"/>
          <w:lang w:val="ka-GE"/>
        </w:rPr>
        <w:t>მცირედით შემცირებულია)</w:t>
      </w:r>
      <w:r>
        <w:rPr>
          <w:rFonts w:ascii="Sylfaen" w:hAnsi="Sylfaen" w:cs="Sylfaen"/>
          <w:lang w:val="ka-GE"/>
        </w:rPr>
        <w:t>. საშუალოვადიან პერიოდში ვალდებულებების ზრდა საშუალოდ მშპ-სთან მიმართებაში 4,1%-ის ფარგლებშია.</w:t>
      </w:r>
    </w:p>
    <w:p w:rsidR="00044987" w:rsidRDefault="00044987" w:rsidP="00AD738A">
      <w:pPr>
        <w:spacing w:line="276" w:lineRule="auto"/>
        <w:ind w:firstLine="720"/>
        <w:jc w:val="both"/>
        <w:rPr>
          <w:rFonts w:ascii="Sylfaen" w:hAnsi="Sylfaen"/>
          <w:lang w:val="ka-GE"/>
        </w:rPr>
      </w:pPr>
      <w:r w:rsidRPr="00322175">
        <w:rPr>
          <w:rFonts w:ascii="Sylfaen" w:hAnsi="Sylfaen"/>
          <w:lang w:val="ka-GE"/>
        </w:rPr>
        <w:t>ქვემოთ მოცემულ ცხრილში</w:t>
      </w:r>
      <w:r w:rsidR="00C24549" w:rsidRPr="00322175">
        <w:rPr>
          <w:rFonts w:ascii="Sylfaen" w:hAnsi="Sylfaen"/>
          <w:lang w:val="ka-GE"/>
        </w:rPr>
        <w:t xml:space="preserve"> (ცხრილი </w:t>
      </w:r>
      <w:r w:rsidR="00C24549" w:rsidRPr="00322175">
        <w:rPr>
          <w:rFonts w:ascii="Sylfaen" w:hAnsi="Sylfaen" w:cs="Sylfaen"/>
          <w:bCs/>
          <w:noProof/>
          <w:sz w:val="20"/>
          <w:lang w:val="ka-GE"/>
        </w:rPr>
        <w:t>№</w:t>
      </w:r>
      <w:r w:rsidR="00291443" w:rsidRPr="00322175">
        <w:rPr>
          <w:rFonts w:ascii="Sylfaen" w:hAnsi="Sylfaen" w:cs="Sylfaen"/>
          <w:bCs/>
          <w:noProof/>
          <w:sz w:val="20"/>
          <w:lang w:val="ka-GE"/>
        </w:rPr>
        <w:t>7</w:t>
      </w:r>
      <w:r w:rsidR="00C24549" w:rsidRPr="00322175">
        <w:rPr>
          <w:rFonts w:ascii="Sylfaen" w:hAnsi="Sylfaen"/>
          <w:lang w:val="ka-GE"/>
        </w:rPr>
        <w:t>)</w:t>
      </w:r>
      <w:r w:rsidRPr="00322175">
        <w:rPr>
          <w:rFonts w:ascii="Sylfaen" w:hAnsi="Sylfaen"/>
          <w:lang w:val="ka-GE"/>
        </w:rPr>
        <w:t xml:space="preserve"> წარმოდგენილია ვალდებულებების ზრდის პროგნოზები 202</w:t>
      </w:r>
      <w:r w:rsidR="00671C42">
        <w:rPr>
          <w:rFonts w:ascii="Sylfaen" w:hAnsi="Sylfaen"/>
          <w:lang w:val="ka-GE"/>
        </w:rPr>
        <w:t>3</w:t>
      </w:r>
      <w:r w:rsidRPr="00322175">
        <w:rPr>
          <w:rFonts w:ascii="Sylfaen" w:hAnsi="Sylfaen"/>
          <w:lang w:val="ka-GE"/>
        </w:rPr>
        <w:t>-202</w:t>
      </w:r>
      <w:r w:rsidR="007716A2" w:rsidRPr="00322175">
        <w:rPr>
          <w:rFonts w:ascii="Sylfaen" w:hAnsi="Sylfaen"/>
          <w:lang w:val="ka-GE"/>
        </w:rPr>
        <w:t>7</w:t>
      </w:r>
      <w:r w:rsidRPr="00322175">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w:t>
      </w:r>
      <w:r w:rsidR="00291443" w:rsidRPr="00322175">
        <w:rPr>
          <w:rFonts w:ascii="Sylfaen" w:hAnsi="Sylfaen" w:cs="Sylfaen"/>
          <w:b/>
          <w:bCs/>
          <w:noProof/>
          <w:sz w:val="20"/>
          <w:szCs w:val="22"/>
          <w:lang w:val="ka-GE"/>
        </w:rPr>
        <w:t>ილი №7</w:t>
      </w:r>
      <w:r w:rsidRPr="00322175">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287" w:type="pct"/>
        <w:tblInd w:w="-289" w:type="dxa"/>
        <w:tblLook w:val="04A0" w:firstRow="1" w:lastRow="0" w:firstColumn="1" w:lastColumn="0" w:noHBand="0" w:noVBand="1"/>
      </w:tblPr>
      <w:tblGrid>
        <w:gridCol w:w="2410"/>
        <w:gridCol w:w="817"/>
        <w:gridCol w:w="1100"/>
        <w:gridCol w:w="1100"/>
        <w:gridCol w:w="1100"/>
        <w:gridCol w:w="1100"/>
        <w:gridCol w:w="1103"/>
        <w:gridCol w:w="1100"/>
        <w:gridCol w:w="1100"/>
      </w:tblGrid>
      <w:tr w:rsidR="009B3D09" w:rsidRPr="009B3D09" w:rsidTr="009B3D09">
        <w:trPr>
          <w:trHeight w:val="113"/>
          <w:tblHeader/>
        </w:trPr>
        <w:tc>
          <w:tcPr>
            <w:tcW w:w="1103" w:type="pct"/>
            <w:vMerge w:val="restart"/>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დასახელება</w:t>
            </w:r>
          </w:p>
        </w:tc>
        <w:tc>
          <w:tcPr>
            <w:tcW w:w="37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2020</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2021</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2022</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2023</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2024</w:t>
            </w:r>
          </w:p>
        </w:tc>
        <w:tc>
          <w:tcPr>
            <w:tcW w:w="504"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2025</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2026</w:t>
            </w:r>
          </w:p>
        </w:tc>
        <w:tc>
          <w:tcPr>
            <w:tcW w:w="50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2027</w:t>
            </w:r>
          </w:p>
        </w:tc>
      </w:tr>
      <w:tr w:rsidR="009B3D09" w:rsidRPr="009B3D09" w:rsidTr="009B3D09">
        <w:trPr>
          <w:trHeight w:val="113"/>
          <w:tblHeader/>
        </w:trPr>
        <w:tc>
          <w:tcPr>
            <w:tcW w:w="1103" w:type="pct"/>
            <w:vMerge/>
            <w:tcBorders>
              <w:top w:val="single" w:sz="4" w:space="0" w:color="203764"/>
              <w:left w:val="single" w:sz="4" w:space="0" w:color="203764"/>
              <w:bottom w:val="single" w:sz="4" w:space="0" w:color="203764"/>
              <w:right w:val="single" w:sz="4" w:space="0" w:color="203764"/>
            </w:tcBorders>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ფაქტი</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ვალდებულებების ზრდა</w:t>
            </w:r>
          </w:p>
        </w:tc>
        <w:tc>
          <w:tcPr>
            <w:tcW w:w="374"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7 166,0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5 249,0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3 120,0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3 650,0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4 115,0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7 274,3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4 955,0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4 337,0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3 485,0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3 485,0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3 485,0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108,3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-294,0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1 217,0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-165,0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-630,0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7 274,3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5 216,9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3 582,0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3 584,0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3 560,0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3 660,0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5 020,0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7 274,3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5 216,9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3 722,8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3 629,0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3 595,0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3 695,0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5 055,0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3 820,0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140,8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7 274,4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5 216,9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3 722,8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3 210,0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3 428,0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3 630,0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4 990,0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3 840,0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-419,0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-167,0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ind w:firstLineChars="300" w:firstLine="542"/>
              <w:outlineLvl w:val="0"/>
              <w:rPr>
                <w:rFonts w:ascii="Sylfaen" w:eastAsia="Times New Roman" w:hAnsi="Sylfaen" w:cs="Arial"/>
                <w:b/>
                <w:bCs/>
                <w:sz w:val="18"/>
                <w:szCs w:val="18"/>
              </w:rPr>
            </w:pPr>
            <w:r w:rsidRPr="009B3D09">
              <w:rPr>
                <w:rFonts w:ascii="Sylfaen" w:eastAsia="Times New Roman" w:hAnsi="Sylfaen" w:cs="Arial"/>
                <w:b/>
                <w:bCs/>
                <w:sz w:val="18"/>
                <w:szCs w:val="18"/>
              </w:rPr>
              <w:t>მ</w:t>
            </w:r>
            <w:r w:rsidRPr="009B3D09">
              <w:rPr>
                <w:rFonts w:ascii="Arial" w:eastAsia="Times New Roman" w:hAnsi="Arial" w:cs="Arial"/>
                <w:b/>
                <w:bCs/>
                <w:sz w:val="18"/>
                <w:szCs w:val="18"/>
              </w:rPr>
              <w:t>.</w:t>
            </w:r>
            <w:r w:rsidRPr="009B3D09">
              <w:rPr>
                <w:rFonts w:ascii="Sylfaen" w:eastAsia="Times New Roman" w:hAnsi="Sylfaen" w:cs="Arial"/>
                <w:b/>
                <w:bCs/>
                <w:sz w:val="18"/>
                <w:szCs w:val="18"/>
              </w:rPr>
              <w:t>შ</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საშინაო</w:t>
            </w:r>
          </w:p>
        </w:tc>
        <w:tc>
          <w:tcPr>
            <w:tcW w:w="37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1 841,0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975,0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1 175,0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1 475,0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-335,0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1 285,0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1 385,0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1 485,0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1 485,0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169,0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-305,0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-336,7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1 240,0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1 340,0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1 460,0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1 560,0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1 620,0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-336,7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1 337,3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1 385,0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1 495,0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1 595,0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1 655,0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1 820,0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97,3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35,0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2 010,0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-336,7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1 337,3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1 330,0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1 430,0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1 530,0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1 590,0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1 690,0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-65,0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-130,0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ind w:firstLineChars="300" w:firstLine="542"/>
              <w:outlineLvl w:val="0"/>
              <w:rPr>
                <w:rFonts w:ascii="Sylfaen" w:eastAsia="Times New Roman" w:hAnsi="Sylfaen" w:cs="Arial"/>
                <w:b/>
                <w:bCs/>
                <w:sz w:val="18"/>
                <w:szCs w:val="18"/>
              </w:rPr>
            </w:pPr>
            <w:r w:rsidRPr="009B3D09">
              <w:rPr>
                <w:rFonts w:ascii="Sylfaen" w:eastAsia="Times New Roman" w:hAnsi="Sylfaen" w:cs="Arial"/>
                <w:b/>
                <w:bCs/>
                <w:sz w:val="18"/>
                <w:szCs w:val="18"/>
              </w:rPr>
              <w:t>მ</w:t>
            </w:r>
            <w:r w:rsidRPr="009B3D09">
              <w:rPr>
                <w:rFonts w:ascii="Arial" w:eastAsia="Times New Roman" w:hAnsi="Arial" w:cs="Arial"/>
                <w:b/>
                <w:bCs/>
                <w:sz w:val="18"/>
                <w:szCs w:val="18"/>
              </w:rPr>
              <w:t>.</w:t>
            </w:r>
            <w:r w:rsidRPr="009B3D09">
              <w:rPr>
                <w:rFonts w:ascii="Sylfaen" w:eastAsia="Times New Roman" w:hAnsi="Sylfaen" w:cs="Arial"/>
                <w:b/>
                <w:bCs/>
                <w:sz w:val="18"/>
                <w:szCs w:val="18"/>
              </w:rPr>
              <w:t>შ</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საგარეო</w:t>
            </w:r>
          </w:p>
        </w:tc>
        <w:tc>
          <w:tcPr>
            <w:tcW w:w="37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sz w:val="18"/>
                <w:szCs w:val="18"/>
              </w:rPr>
            </w:pPr>
            <w:r w:rsidRPr="009B3D09">
              <w:rPr>
                <w:rFonts w:ascii="Arial" w:eastAsia="Times New Roman" w:hAnsi="Arial" w:cs="Arial"/>
                <w:b/>
                <w:b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5 325,0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5 279,0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2 145,0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2 475,0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2 640,0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5 290,0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3 052,0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2 000,0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2 000,0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-60,7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11,0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907,0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-375,0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-640,0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5 553,6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2 342,0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2 244,0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2 100,0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3 400,0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5 553,6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2 385,5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2 244,0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2 100,0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3 400,0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2 000,0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43,5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5 264,3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5 553,6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2 385,5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1 880,0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1 998,0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2 100,0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3 400,0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2 150,0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-364,0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-102,0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150,0</w:t>
            </w:r>
          </w:p>
        </w:tc>
      </w:tr>
      <w:tr w:rsidR="009B3D09" w:rsidRPr="009B3D09" w:rsidTr="009B3D09">
        <w:trPr>
          <w:trHeight w:val="113"/>
        </w:trPr>
        <w:tc>
          <w:tcPr>
            <w:tcW w:w="3994" w:type="pct"/>
            <w:gridSpan w:val="7"/>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მშპ</w:t>
            </w:r>
            <w:r w:rsidRPr="009B3D09">
              <w:rPr>
                <w:rFonts w:ascii="Arial" w:eastAsia="Times New Roman" w:hAnsi="Arial" w:cs="Arial"/>
                <w:b/>
                <w:bCs/>
                <w:sz w:val="18"/>
                <w:szCs w:val="18"/>
              </w:rPr>
              <w:t>-</w:t>
            </w:r>
            <w:r w:rsidRPr="009B3D09">
              <w:rPr>
                <w:rFonts w:ascii="Sylfaen" w:eastAsia="Times New Roman" w:hAnsi="Sylfaen" w:cs="Arial"/>
                <w:b/>
                <w:bCs/>
                <w:sz w:val="18"/>
                <w:szCs w:val="18"/>
              </w:rPr>
              <w:t>თან</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 </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ვალდებულებების ზრდა</w:t>
            </w:r>
          </w:p>
        </w:tc>
        <w:tc>
          <w:tcPr>
            <w:tcW w:w="374"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2517"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6,0%</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4,6%</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4,2%</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0,2%</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4,1%</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5,0%</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5,2%</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4,2%</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3,6%</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0,2%</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5,2%</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3,6%</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-0,2%</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ind w:firstLineChars="300" w:firstLine="542"/>
              <w:outlineLvl w:val="0"/>
              <w:rPr>
                <w:rFonts w:ascii="Sylfaen" w:eastAsia="Times New Roman" w:hAnsi="Sylfaen" w:cs="Arial"/>
                <w:b/>
                <w:bCs/>
                <w:i/>
                <w:iCs/>
                <w:sz w:val="18"/>
                <w:szCs w:val="18"/>
              </w:rPr>
            </w:pPr>
            <w:r w:rsidRPr="009B3D09">
              <w:rPr>
                <w:rFonts w:ascii="Sylfaen" w:eastAsia="Times New Roman" w:hAnsi="Sylfaen" w:cs="Arial"/>
                <w:b/>
                <w:bCs/>
                <w:i/>
                <w:iCs/>
                <w:sz w:val="18"/>
                <w:szCs w:val="18"/>
              </w:rPr>
              <w:t>მ</w:t>
            </w:r>
            <w:r w:rsidRPr="009B3D09">
              <w:rPr>
                <w:rFonts w:ascii="Arial" w:eastAsia="Times New Roman" w:hAnsi="Arial" w:cs="Arial"/>
                <w:b/>
                <w:bCs/>
                <w:i/>
                <w:iCs/>
                <w:sz w:val="18"/>
                <w:szCs w:val="18"/>
              </w:rPr>
              <w:t>.</w:t>
            </w:r>
            <w:r w:rsidRPr="009B3D09">
              <w:rPr>
                <w:rFonts w:ascii="Sylfaen" w:eastAsia="Times New Roman" w:hAnsi="Sylfaen" w:cs="Arial"/>
                <w:b/>
                <w:bCs/>
                <w:i/>
                <w:iCs/>
                <w:sz w:val="18"/>
                <w:szCs w:val="18"/>
              </w:rPr>
              <w:t>შ</w:t>
            </w:r>
            <w:r w:rsidRPr="009B3D09">
              <w:rPr>
                <w:rFonts w:ascii="Arial" w:eastAsia="Times New Roman" w:hAnsi="Arial" w:cs="Arial"/>
                <w:b/>
                <w:bCs/>
                <w:i/>
                <w:iCs/>
                <w:sz w:val="18"/>
                <w:szCs w:val="18"/>
              </w:rPr>
              <w:t xml:space="preserve">. </w:t>
            </w:r>
            <w:r w:rsidRPr="009B3D09">
              <w:rPr>
                <w:rFonts w:ascii="Sylfaen" w:eastAsia="Times New Roman" w:hAnsi="Sylfaen" w:cs="Arial"/>
                <w:b/>
                <w:bCs/>
                <w:i/>
                <w:iCs/>
                <w:sz w:val="18"/>
                <w:szCs w:val="18"/>
              </w:rPr>
              <w:t>საშინაო</w:t>
            </w:r>
          </w:p>
        </w:tc>
        <w:tc>
          <w:tcPr>
            <w:tcW w:w="37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-0,2%</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ind w:firstLineChars="300" w:firstLine="542"/>
              <w:outlineLvl w:val="0"/>
              <w:rPr>
                <w:rFonts w:ascii="Sylfaen" w:eastAsia="Times New Roman" w:hAnsi="Sylfaen" w:cs="Arial"/>
                <w:b/>
                <w:bCs/>
                <w:i/>
                <w:iCs/>
                <w:sz w:val="18"/>
                <w:szCs w:val="18"/>
              </w:rPr>
            </w:pPr>
            <w:r w:rsidRPr="009B3D09">
              <w:rPr>
                <w:rFonts w:ascii="Sylfaen" w:eastAsia="Times New Roman" w:hAnsi="Sylfaen" w:cs="Arial"/>
                <w:b/>
                <w:bCs/>
                <w:i/>
                <w:iCs/>
                <w:sz w:val="18"/>
                <w:szCs w:val="18"/>
              </w:rPr>
              <w:t>მ</w:t>
            </w:r>
            <w:r w:rsidRPr="009B3D09">
              <w:rPr>
                <w:rFonts w:ascii="Arial" w:eastAsia="Times New Roman" w:hAnsi="Arial" w:cs="Arial"/>
                <w:b/>
                <w:bCs/>
                <w:i/>
                <w:iCs/>
                <w:sz w:val="18"/>
                <w:szCs w:val="18"/>
              </w:rPr>
              <w:t>.</w:t>
            </w:r>
            <w:r w:rsidRPr="009B3D09">
              <w:rPr>
                <w:rFonts w:ascii="Sylfaen" w:eastAsia="Times New Roman" w:hAnsi="Sylfaen" w:cs="Arial"/>
                <w:b/>
                <w:bCs/>
                <w:i/>
                <w:iCs/>
                <w:sz w:val="18"/>
                <w:szCs w:val="18"/>
              </w:rPr>
              <w:t>შ</w:t>
            </w:r>
            <w:r w:rsidRPr="009B3D09">
              <w:rPr>
                <w:rFonts w:ascii="Arial" w:eastAsia="Times New Roman" w:hAnsi="Arial" w:cs="Arial"/>
                <w:b/>
                <w:bCs/>
                <w:i/>
                <w:iCs/>
                <w:sz w:val="18"/>
                <w:szCs w:val="18"/>
              </w:rPr>
              <w:t xml:space="preserve">. </w:t>
            </w:r>
            <w:r w:rsidRPr="009B3D09">
              <w:rPr>
                <w:rFonts w:ascii="Sylfaen" w:eastAsia="Times New Roman" w:hAnsi="Sylfaen" w:cs="Arial"/>
                <w:b/>
                <w:bCs/>
                <w:i/>
                <w:iCs/>
                <w:sz w:val="18"/>
                <w:szCs w:val="18"/>
              </w:rPr>
              <w:t>საგარეო</w:t>
            </w:r>
          </w:p>
        </w:tc>
        <w:tc>
          <w:tcPr>
            <w:tcW w:w="37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ind w:firstLineChars="300" w:firstLine="542"/>
              <w:outlineLvl w:val="0"/>
              <w:rPr>
                <w:rFonts w:ascii="Sylfaen" w:eastAsia="Times New Roman" w:hAnsi="Sylfaen" w:cs="Arial"/>
                <w:b/>
                <w:bCs/>
                <w:i/>
                <w:iCs/>
                <w:sz w:val="18"/>
                <w:szCs w:val="18"/>
              </w:rPr>
            </w:pPr>
            <w:r w:rsidRPr="009B3D09">
              <w:rPr>
                <w:rFonts w:ascii="Sylfaen" w:eastAsia="Times New Roman" w:hAnsi="Sylfaen"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4"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c>
          <w:tcPr>
            <w:tcW w:w="503"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outlineLvl w:val="0"/>
              <w:rPr>
                <w:rFonts w:ascii="Arial" w:eastAsia="Times New Roman" w:hAnsi="Arial" w:cs="Arial"/>
                <w:b/>
                <w:bCs/>
                <w:i/>
                <w:iCs/>
                <w:sz w:val="18"/>
                <w:szCs w:val="18"/>
              </w:rPr>
            </w:pPr>
            <w:r w:rsidRPr="009B3D09">
              <w:rPr>
                <w:rFonts w:ascii="Arial" w:eastAsia="Times New Roman" w:hAnsi="Arial" w:cs="Arial"/>
                <w:b/>
                <w:bCs/>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3,8%</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-1,2%</w:t>
            </w:r>
          </w:p>
        </w:tc>
        <w:tc>
          <w:tcPr>
            <w:tcW w:w="504"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3,2%</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2,8%</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3,4%</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2,9%</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3"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10,7%</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9,3%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3,4%</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w:t>
            </w:r>
          </w:p>
        </w:tc>
      </w:tr>
      <w:tr w:rsidR="009B3D09" w:rsidRPr="009B3D09" w:rsidTr="009B3D09">
        <w:trPr>
          <w:trHeight w:val="113"/>
        </w:trPr>
        <w:tc>
          <w:tcPr>
            <w:tcW w:w="1103"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37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-0,5%</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4"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5C64F7" w:rsidRPr="00322175" w:rsidRDefault="007E59A3" w:rsidP="0041266C">
      <w:pPr>
        <w:tabs>
          <w:tab w:val="left" w:pos="90"/>
        </w:tabs>
        <w:spacing w:after="0" w:line="276" w:lineRule="auto"/>
        <w:ind w:firstLine="720"/>
        <w:jc w:val="both"/>
        <w:rPr>
          <w:rFonts w:ascii="Sylfaen" w:hAnsi="Sylfaen" w:cs="Sylfaen"/>
          <w:bCs/>
          <w:noProof/>
          <w:lang w:val="ka-GE"/>
        </w:rPr>
      </w:pPr>
      <w:r w:rsidRPr="00322175">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გაიზარდა მიმდინარე ხარჯების მოცულობა და მშპ-სთან მიმართებაში 2020 წელს 26,3%, ხოლო 2021 წელს 24,6% შეადგინა</w:t>
      </w:r>
      <w:r w:rsidR="0094642B" w:rsidRPr="00322175">
        <w:rPr>
          <w:rFonts w:ascii="Sylfaen" w:hAnsi="Sylfaen" w:cs="Sylfaen"/>
          <w:bCs/>
          <w:noProof/>
          <w:lang w:val="ka-GE"/>
        </w:rPr>
        <w:t xml:space="preserve">. თუმცა, </w:t>
      </w:r>
      <w:r w:rsidR="001A6A94" w:rsidRPr="00322175">
        <w:rPr>
          <w:rFonts w:ascii="Sylfaen" w:hAnsi="Sylfaen" w:cs="Sylfaen"/>
          <w:bCs/>
          <w:noProof/>
          <w:lang w:val="ka-GE"/>
        </w:rPr>
        <w:t xml:space="preserve">2022 წელს პანდემიასთან დაკავშირებული ხარჯები მნიშვნელოვნად შემცირდა. </w:t>
      </w:r>
      <w:r w:rsidRPr="00322175">
        <w:rPr>
          <w:rFonts w:ascii="Sylfaen" w:hAnsi="Sylfaen" w:cs="Sylfaen"/>
          <w:bCs/>
          <w:noProof/>
          <w:lang w:val="ka-GE"/>
        </w:rPr>
        <w:t xml:space="preserve">2022 წელს მიმდინარე ხარჯების </w:t>
      </w:r>
      <w:r w:rsidR="001A6A94" w:rsidRPr="00322175">
        <w:rPr>
          <w:rFonts w:ascii="Sylfaen" w:hAnsi="Sylfaen" w:cs="Sylfaen"/>
          <w:bCs/>
          <w:noProof/>
          <w:lang w:val="ka-GE"/>
        </w:rPr>
        <w:t>ფაქტიური</w:t>
      </w:r>
      <w:r w:rsidRPr="00322175">
        <w:rPr>
          <w:rFonts w:ascii="Sylfaen" w:hAnsi="Sylfaen" w:cs="Sylfaen"/>
          <w:bCs/>
          <w:noProof/>
          <w:lang w:val="ka-GE"/>
        </w:rPr>
        <w:t xml:space="preserve"> </w:t>
      </w:r>
      <w:r w:rsidR="001A6A94" w:rsidRPr="00322175">
        <w:rPr>
          <w:rFonts w:ascii="Sylfaen" w:hAnsi="Sylfaen" w:cs="Sylfaen"/>
          <w:bCs/>
          <w:noProof/>
          <w:lang w:val="ka-GE"/>
        </w:rPr>
        <w:t>მოცულობამ ჯამში შეადგინა</w:t>
      </w:r>
      <w:r w:rsidRPr="00322175">
        <w:rPr>
          <w:rFonts w:ascii="Sylfaen" w:hAnsi="Sylfaen" w:cs="Sylfaen"/>
          <w:bCs/>
          <w:noProof/>
          <w:lang w:val="ka-GE"/>
        </w:rPr>
        <w:t xml:space="preserve"> 15,</w:t>
      </w:r>
      <w:r w:rsidR="001A6A94" w:rsidRPr="00322175">
        <w:rPr>
          <w:rFonts w:ascii="Sylfaen" w:hAnsi="Sylfaen" w:cs="Sylfaen"/>
          <w:bCs/>
          <w:noProof/>
          <w:lang w:val="ka-GE"/>
        </w:rPr>
        <w:t>6</w:t>
      </w:r>
      <w:r w:rsidRPr="00322175">
        <w:rPr>
          <w:rFonts w:ascii="Sylfaen" w:hAnsi="Sylfaen" w:cs="Sylfaen"/>
          <w:bCs/>
          <w:noProof/>
          <w:lang w:val="ka-GE"/>
        </w:rPr>
        <w:t xml:space="preserve"> მლრდ ლარი, რაც მშპ-ს 21,8%-ს შეადგენს. </w:t>
      </w:r>
    </w:p>
    <w:p w:rsidR="000B616D" w:rsidRDefault="007E59A3" w:rsidP="0094642B">
      <w:pPr>
        <w:tabs>
          <w:tab w:val="left" w:pos="90"/>
        </w:tabs>
        <w:spacing w:after="0" w:line="276" w:lineRule="auto"/>
        <w:ind w:firstLine="720"/>
        <w:jc w:val="both"/>
        <w:rPr>
          <w:rFonts w:ascii="Sylfaen" w:hAnsi="Sylfaen" w:cs="Sylfaen"/>
          <w:bCs/>
          <w:noProof/>
          <w:lang w:val="ka-GE"/>
        </w:rPr>
      </w:pPr>
      <w:r w:rsidRPr="00322175">
        <w:rPr>
          <w:rFonts w:ascii="Sylfaen" w:hAnsi="Sylfaen" w:cs="Sylfaen"/>
          <w:bCs/>
          <w:noProof/>
          <w:lang w:val="ka-GE"/>
        </w:rPr>
        <w:t>2023 წლ</w:t>
      </w:r>
      <w:r w:rsidR="00322175">
        <w:rPr>
          <w:rFonts w:ascii="Sylfaen" w:hAnsi="Sylfaen" w:cs="Sylfaen"/>
          <w:bCs/>
          <w:noProof/>
          <w:lang w:val="ka-GE"/>
        </w:rPr>
        <w:t>ის</w:t>
      </w:r>
      <w:r w:rsidRPr="00322175">
        <w:rPr>
          <w:rFonts w:ascii="Sylfaen" w:hAnsi="Sylfaen" w:cs="Sylfaen"/>
          <w:bCs/>
          <w:noProof/>
          <w:lang w:val="ka-GE"/>
        </w:rPr>
        <w:t xml:space="preserve"> </w:t>
      </w:r>
      <w:r w:rsidR="005C64F7" w:rsidRPr="00322175">
        <w:rPr>
          <w:rFonts w:ascii="Sylfaen" w:hAnsi="Sylfaen" w:cs="Sylfaen"/>
          <w:bCs/>
          <w:noProof/>
          <w:lang w:val="ka-GE"/>
        </w:rPr>
        <w:t xml:space="preserve">ნაერთი ბიუჯეტის </w:t>
      </w:r>
      <w:r w:rsidRPr="00322175">
        <w:rPr>
          <w:rFonts w:ascii="Sylfaen" w:hAnsi="Sylfaen" w:cs="Sylfaen"/>
          <w:bCs/>
          <w:noProof/>
          <w:lang w:val="ka-GE"/>
        </w:rPr>
        <w:t xml:space="preserve">მიმდინარე ხარჯების </w:t>
      </w:r>
      <w:r w:rsidR="005C64F7" w:rsidRPr="00322175">
        <w:rPr>
          <w:rFonts w:ascii="Sylfaen" w:hAnsi="Sylfaen" w:cs="Sylfaen"/>
          <w:bCs/>
          <w:noProof/>
          <w:lang w:val="ka-GE"/>
        </w:rPr>
        <w:t>მოცულობა 2022 წლის დეკემბერში დაიგეგმა 17.4 მლრდ ლარ</w:t>
      </w:r>
      <w:r w:rsidR="000B616D">
        <w:rPr>
          <w:rFonts w:ascii="Sylfaen" w:hAnsi="Sylfaen" w:cs="Sylfaen"/>
          <w:bCs/>
          <w:noProof/>
          <w:lang w:val="ka-GE"/>
        </w:rPr>
        <w:t>ის</w:t>
      </w:r>
      <w:r w:rsidR="005C64F7" w:rsidRPr="00322175">
        <w:rPr>
          <w:rFonts w:ascii="Sylfaen" w:hAnsi="Sylfaen" w:cs="Sylfaen"/>
          <w:bCs/>
          <w:noProof/>
          <w:lang w:val="ka-GE"/>
        </w:rPr>
        <w:t xml:space="preserve"> ოდენობით</w:t>
      </w:r>
      <w:r w:rsidRPr="00322175">
        <w:rPr>
          <w:rFonts w:ascii="Sylfaen" w:hAnsi="Sylfaen" w:cs="Sylfaen"/>
          <w:bCs/>
          <w:noProof/>
          <w:lang w:val="ka-GE"/>
        </w:rPr>
        <w:t>, რაც მშპ-ის 21,</w:t>
      </w:r>
      <w:r w:rsidR="005C64F7" w:rsidRPr="00322175">
        <w:rPr>
          <w:rFonts w:ascii="Sylfaen" w:hAnsi="Sylfaen" w:cs="Sylfaen"/>
          <w:bCs/>
          <w:noProof/>
          <w:lang w:val="ka-GE"/>
        </w:rPr>
        <w:t>9</w:t>
      </w:r>
      <w:r w:rsidRPr="00322175">
        <w:rPr>
          <w:rFonts w:ascii="Sylfaen" w:hAnsi="Sylfaen" w:cs="Sylfaen"/>
          <w:bCs/>
          <w:noProof/>
          <w:lang w:val="ka-GE"/>
        </w:rPr>
        <w:t>%-</w:t>
      </w:r>
      <w:r w:rsidR="001A6A94" w:rsidRPr="00322175">
        <w:rPr>
          <w:rFonts w:ascii="Sylfaen" w:hAnsi="Sylfaen" w:cs="Sylfaen"/>
          <w:bCs/>
          <w:noProof/>
          <w:lang w:val="ka-GE"/>
        </w:rPr>
        <w:t>ი</w:t>
      </w:r>
      <w:r w:rsidR="005C64F7" w:rsidRPr="00322175">
        <w:rPr>
          <w:rFonts w:ascii="Sylfaen" w:hAnsi="Sylfaen" w:cs="Sylfaen"/>
          <w:bCs/>
          <w:noProof/>
          <w:lang w:val="ka-GE"/>
        </w:rPr>
        <w:t>ს ფარგლებშია, თუმცა გადამუშავებულ პროგნოზებში მიმდინარე ხარჯების მოცულობა გაზრდილია</w:t>
      </w:r>
      <w:r w:rsidR="000B616D">
        <w:rPr>
          <w:rFonts w:ascii="Sylfaen" w:hAnsi="Sylfaen" w:cs="Sylfaen"/>
          <w:bCs/>
          <w:noProof/>
          <w:lang w:val="ka-GE"/>
        </w:rPr>
        <w:t xml:space="preserve"> 17,8 </w:t>
      </w:r>
      <w:r w:rsidR="005C64F7" w:rsidRPr="00322175">
        <w:rPr>
          <w:rFonts w:ascii="Sylfaen" w:hAnsi="Sylfaen" w:cs="Sylfaen"/>
          <w:bCs/>
          <w:noProof/>
          <w:lang w:val="ka-GE"/>
        </w:rPr>
        <w:t>მლრდ ლარამდე, რაც მშპ-ის 22,6%-ია</w:t>
      </w:r>
      <w:r w:rsidR="000B616D">
        <w:rPr>
          <w:rFonts w:ascii="Sylfaen" w:hAnsi="Sylfaen" w:cs="Sylfaen"/>
          <w:bCs/>
          <w:noProof/>
          <w:lang w:val="ka-GE"/>
        </w:rPr>
        <w:t>.</w:t>
      </w:r>
    </w:p>
    <w:p w:rsidR="0094642B" w:rsidRPr="000B616D" w:rsidRDefault="0094642B" w:rsidP="0094642B">
      <w:pPr>
        <w:tabs>
          <w:tab w:val="left" w:pos="90"/>
        </w:tabs>
        <w:spacing w:after="0" w:line="276" w:lineRule="auto"/>
        <w:ind w:firstLine="720"/>
        <w:jc w:val="both"/>
        <w:rPr>
          <w:rFonts w:ascii="Sylfaen" w:hAnsi="Sylfaen" w:cs="Sylfaen"/>
          <w:bCs/>
          <w:noProof/>
          <w:lang w:val="ka-GE"/>
        </w:rPr>
      </w:pPr>
      <w:r w:rsidRPr="000B616D">
        <w:rPr>
          <w:rFonts w:ascii="Sylfaen" w:hAnsi="Sylfaen" w:cs="Sylfaen"/>
          <w:bCs/>
          <w:noProof/>
          <w:lang w:val="ka-GE"/>
        </w:rPr>
        <w:t xml:space="preserve">მიმდინარე ხარჯების ზრდა ძირითადად გამოწვეულია სოციალური და ჯანმრთელობის დაცვის მიმართულებით ბენეფიციარების გაზრდით, ასევე, მოსახლეობის საყოველთაო ჯანმრთელობის დაცვის პროგრამის ფარგლებში </w:t>
      </w:r>
      <w:r w:rsidRPr="000B616D">
        <w:rPr>
          <w:rFonts w:ascii="Sylfaen" w:hAnsi="Sylfaen" w:cs="Sylfaen"/>
          <w:bCs/>
          <w:noProof/>
        </w:rPr>
        <w:t>DRG-</w:t>
      </w:r>
      <w:r w:rsidRPr="000B616D">
        <w:rPr>
          <w:rFonts w:ascii="Sylfaen" w:hAnsi="Sylfaen" w:cs="Sylfaen"/>
          <w:bCs/>
          <w:noProof/>
          <w:lang w:val="ka-GE"/>
        </w:rPr>
        <w:t xml:space="preserve">ის (დიაგნოზთან შეჭიდული ჯგუფები) პრინციპით სამედიცინო მომსახურების საერთაშორისო სტანდარტებთან შესაბამისი სატარიფო სისტემით გადახდის მექანიზმების სრულყოფილად დანერგვის დაწყებით, რაც საწყის ეტაპზე მოითხოვს დამატებით ფინანსურ რესურსებს, თუმცა გრძელვადიან პერიოდში უზრუნველყოფს საჯარო ფინანსების უფრო ეფექტიან გამოყენებას. </w:t>
      </w:r>
    </w:p>
    <w:p w:rsidR="0094642B" w:rsidRPr="000B616D" w:rsidRDefault="0094642B"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0B616D">
        <w:rPr>
          <w:rFonts w:ascii="Sylfaen" w:hAnsi="Sylfaen" w:cs="Sylfaen"/>
          <w:bCs/>
          <w:noProof/>
          <w:sz w:val="22"/>
          <w:szCs w:val="22"/>
          <w:lang w:val="ka-GE"/>
        </w:rPr>
        <w:tab/>
        <w:t>ამასთან, ჯანმრთელობის დაცვის მიმართულებით დაგეგმილია ახალი პოლიტიკის მიმართულების დაფინანსება, რაც გულისხმობს 18 წლამდე ასაკის ონკოლოგიური დიაგნოზის მქონე პაციენტებისთვის (300-მდე პაციენტი) მკურნალობის დაფინანსებას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w:t>
      </w:r>
    </w:p>
    <w:p w:rsidR="000B616D" w:rsidRDefault="0094642B" w:rsidP="0062550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0B616D">
        <w:rPr>
          <w:rFonts w:ascii="Sylfaen" w:hAnsi="Sylfaen" w:cs="Sylfaen"/>
          <w:bCs/>
          <w:noProof/>
          <w:sz w:val="22"/>
          <w:szCs w:val="22"/>
          <w:lang w:val="ka-GE"/>
        </w:rPr>
        <w:tab/>
      </w:r>
      <w:r w:rsidR="00A76637" w:rsidRPr="000B616D">
        <w:rPr>
          <w:rFonts w:ascii="Sylfaen" w:hAnsi="Sylfaen" w:cs="Sylfaen"/>
          <w:bCs/>
          <w:noProof/>
          <w:sz w:val="22"/>
          <w:szCs w:val="22"/>
          <w:lang w:val="ka-GE"/>
        </w:rPr>
        <w:t>2023 წლის პროგნოზების განახლებიდან გამომდინარე,  მიმდინარე ხარჯები ასევე გაზრდილია</w:t>
      </w:r>
      <w:r w:rsidR="0041266C" w:rsidRPr="000B616D">
        <w:rPr>
          <w:rFonts w:ascii="Sylfaen" w:hAnsi="Sylfaen" w:cs="Sylfaen"/>
          <w:bCs/>
          <w:noProof/>
          <w:sz w:val="22"/>
          <w:szCs w:val="22"/>
          <w:lang w:val="ka-GE"/>
        </w:rPr>
        <w:t xml:space="preserve"> 2024 წელს და შეადგენს </w:t>
      </w:r>
      <w:r w:rsidR="000B616D" w:rsidRPr="000B616D">
        <w:rPr>
          <w:rFonts w:ascii="Sylfaen" w:hAnsi="Sylfaen" w:cs="Sylfaen"/>
          <w:bCs/>
          <w:noProof/>
          <w:sz w:val="22"/>
          <w:szCs w:val="22"/>
          <w:lang w:val="ka-GE"/>
        </w:rPr>
        <w:t xml:space="preserve">19,8 მლრდ ლარს, რაც </w:t>
      </w:r>
      <w:r w:rsidR="004B4018">
        <w:rPr>
          <w:rFonts w:ascii="Sylfaen" w:hAnsi="Sylfaen" w:cs="Sylfaen"/>
          <w:bCs/>
          <w:noProof/>
          <w:sz w:val="22"/>
          <w:szCs w:val="22"/>
          <w:lang w:val="ka-GE"/>
        </w:rPr>
        <w:t>მშპ-ის 23,2</w:t>
      </w:r>
      <w:r w:rsidR="0041266C" w:rsidRPr="000B616D">
        <w:rPr>
          <w:rFonts w:ascii="Sylfaen" w:hAnsi="Sylfaen" w:cs="Sylfaen"/>
          <w:bCs/>
          <w:noProof/>
          <w:sz w:val="22"/>
          <w:szCs w:val="22"/>
          <w:lang w:val="ka-GE"/>
        </w:rPr>
        <w:t>%-ს</w:t>
      </w:r>
      <w:r w:rsidR="000B616D" w:rsidRPr="000B616D">
        <w:rPr>
          <w:rFonts w:ascii="Sylfaen" w:hAnsi="Sylfaen" w:cs="Sylfaen"/>
          <w:bCs/>
          <w:noProof/>
          <w:sz w:val="22"/>
          <w:szCs w:val="22"/>
          <w:lang w:val="ka-GE"/>
        </w:rPr>
        <w:t xml:space="preserve">. მიმდინარე წლის ივლისის პროგნოზთან შედარებით აღნიშნული მაჩვენებელი გაზრდილია 260,0 მლნ ლარით. აღნიშნული გამოწვეულია 2023 წელს მიმდინარე ხარჯების გაზრდის აუცილებლობით, რაც ასახულია 2023 წლის სახელმწიფო ბიუჯეტის კანონის ცვლილების პროექტში და წარგდენილია საქართველოს პარლამენტისთვის. შესაბამისად, შემდგომი წლების პროგნოზებიც გაზრდილია მიმდინარე ხარჯებთან მიმართებაში. საშუალოვადიან პერიოდში მიმდინარე ხარჯების პროგნოზი მშპ-სთან მიმართებაში 23,4%-ის ფარგლებშია განსაზღვრული. </w:t>
      </w:r>
    </w:p>
    <w:p w:rsidR="00BB71C8" w:rsidRPr="00BB71C8" w:rsidRDefault="00BB71C8" w:rsidP="00BB71C8">
      <w:pPr>
        <w:tabs>
          <w:tab w:val="left" w:pos="90"/>
        </w:tabs>
        <w:spacing w:after="0" w:line="276" w:lineRule="auto"/>
        <w:ind w:firstLine="720"/>
        <w:jc w:val="both"/>
        <w:rPr>
          <w:rFonts w:ascii="Sylfaen" w:hAnsi="Sylfaen" w:cs="Sylfaen"/>
          <w:lang w:val="ka-GE"/>
        </w:rPr>
      </w:pPr>
      <w:r w:rsidRPr="00BB71C8">
        <w:rPr>
          <w:rFonts w:ascii="Sylfaen" w:hAnsi="Sylfaen" w:cs="Sylfaen"/>
          <w:bCs/>
          <w:noProof/>
          <w:lang w:val="ka-GE"/>
        </w:rPr>
        <w:t>პანდემიის მიუხედავად, 2020-2021 წლებში მნიშვნელოვნად არ შემცირებულა კაპიტალური პროექტების დაფინანსების მოცულობა და მშპ-სთან მიმართებაში 2020 წელს 9,0%, ხოლო 2021 წელს 8% შეადგინა. 2022 წელს კაპიტალური ხარჯების მოცულობამ შეადგინა 6,0 მლრდ ლარ</w:t>
      </w:r>
      <w:r w:rsidR="00671C42">
        <w:rPr>
          <w:rFonts w:ascii="Sylfaen" w:hAnsi="Sylfaen" w:cs="Sylfaen"/>
          <w:bCs/>
          <w:noProof/>
          <w:lang w:val="ka-GE"/>
        </w:rPr>
        <w:t>ი,</w:t>
      </w:r>
      <w:r w:rsidRPr="00BB71C8">
        <w:rPr>
          <w:rFonts w:ascii="Sylfaen" w:hAnsi="Sylfaen" w:cs="Sylfaen"/>
          <w:bCs/>
          <w:noProof/>
          <w:lang w:val="ka-GE"/>
        </w:rPr>
        <w:t xml:space="preserve"> რაც მშპ-ს 8,2%-ია. 2023 წელს კაპიტალური ხარჯების მოსალოდნელი ოდენობა </w:t>
      </w:r>
      <w:r w:rsidR="00671C42">
        <w:rPr>
          <w:rFonts w:ascii="Sylfaen" w:hAnsi="Sylfaen" w:cs="Sylfaen"/>
          <w:bCs/>
          <w:noProof/>
          <w:lang w:val="ka-GE"/>
        </w:rPr>
        <w:t>6,5 მლრდ ლარს შეადგენს</w:t>
      </w:r>
      <w:r w:rsidRPr="00BB71C8">
        <w:rPr>
          <w:rFonts w:ascii="Sylfaen" w:hAnsi="Sylfaen" w:cs="Sylfaen"/>
          <w:bCs/>
          <w:noProof/>
          <w:lang w:val="ka-GE"/>
        </w:rPr>
        <w:t xml:space="preserve">, რაც მშპ-ს </w:t>
      </w:r>
      <w:r w:rsidR="00671C42">
        <w:rPr>
          <w:rFonts w:ascii="Sylfaen" w:hAnsi="Sylfaen" w:cs="Sylfaen"/>
          <w:bCs/>
          <w:noProof/>
          <w:lang w:val="ka-GE"/>
        </w:rPr>
        <w:t>8,2</w:t>
      </w:r>
      <w:r w:rsidRPr="00BB71C8">
        <w:rPr>
          <w:rFonts w:ascii="Sylfaen" w:hAnsi="Sylfaen" w:cs="Sylfaen"/>
          <w:bCs/>
          <w:noProof/>
          <w:lang w:val="ka-GE"/>
        </w:rPr>
        <w:t xml:space="preserve">%-ია. </w:t>
      </w:r>
      <w:r w:rsidR="00671C42">
        <w:rPr>
          <w:rFonts w:ascii="Sylfaen" w:hAnsi="Sylfaen" w:cs="Sylfaen"/>
          <w:bCs/>
          <w:noProof/>
          <w:lang w:val="ka-GE"/>
        </w:rPr>
        <w:t xml:space="preserve">2024 წელს აღნიშნული მაჩვენებელი 6,3 </w:t>
      </w:r>
      <w:r w:rsidR="004B4018">
        <w:rPr>
          <w:rFonts w:ascii="Sylfaen" w:hAnsi="Sylfaen" w:cs="Sylfaen"/>
          <w:bCs/>
          <w:noProof/>
          <w:lang w:val="ka-GE"/>
        </w:rPr>
        <w:t>მლ</w:t>
      </w:r>
      <w:r w:rsidR="00671C42">
        <w:rPr>
          <w:rFonts w:ascii="Sylfaen" w:hAnsi="Sylfaen" w:cs="Sylfaen"/>
          <w:bCs/>
          <w:noProof/>
          <w:lang w:val="ka-GE"/>
        </w:rPr>
        <w:t xml:space="preserve">რდ ლარია, რაც მშპ-ს 7,3%-ს შეადგენს. </w:t>
      </w:r>
      <w:r w:rsidR="004B4018">
        <w:rPr>
          <w:rFonts w:ascii="Sylfaen" w:hAnsi="Sylfaen" w:cs="Sylfaen"/>
          <w:bCs/>
          <w:noProof/>
          <w:lang w:val="ka-GE"/>
        </w:rPr>
        <w:t>2024 წელს</w:t>
      </w:r>
      <w:r w:rsidRPr="00BB71C8">
        <w:rPr>
          <w:rFonts w:ascii="Sylfaen" w:hAnsi="Sylfaen" w:cs="Sylfaen"/>
          <w:bCs/>
          <w:noProof/>
          <w:lang w:val="ka-GE"/>
        </w:rPr>
        <w:t xml:space="preserve"> არაფინანსური და ფინანსური აქტივების ზრდა ჯამში მშპ-სთან მიმართებაში </w:t>
      </w:r>
      <w:r w:rsidR="004B4018">
        <w:rPr>
          <w:rFonts w:ascii="Sylfaen" w:hAnsi="Sylfaen" w:cs="Sylfaen"/>
          <w:bCs/>
          <w:noProof/>
          <w:lang w:val="ka-GE"/>
        </w:rPr>
        <w:t>7</w:t>
      </w:r>
      <w:r w:rsidRPr="00BB71C8">
        <w:rPr>
          <w:rFonts w:ascii="Sylfaen" w:hAnsi="Sylfaen" w:cs="Sylfaen"/>
          <w:bCs/>
          <w:noProof/>
          <w:lang w:val="ka-GE"/>
        </w:rPr>
        <w:t>,</w:t>
      </w:r>
      <w:r w:rsidR="004B4018">
        <w:rPr>
          <w:rFonts w:ascii="Sylfaen" w:hAnsi="Sylfaen" w:cs="Sylfaen"/>
          <w:bCs/>
          <w:noProof/>
          <w:lang w:val="ka-GE"/>
        </w:rPr>
        <w:t>6</w:t>
      </w:r>
      <w:r w:rsidRPr="00BB71C8">
        <w:rPr>
          <w:rFonts w:ascii="Sylfaen" w:hAnsi="Sylfaen" w:cs="Sylfaen"/>
          <w:bCs/>
          <w:noProof/>
          <w:lang w:val="ka-GE"/>
        </w:rPr>
        <w:t xml:space="preserve">%-ის ფარგლებშია </w:t>
      </w:r>
      <w:r w:rsidR="004B4018">
        <w:rPr>
          <w:rFonts w:ascii="Sylfaen" w:hAnsi="Sylfaen" w:cs="Sylfaen"/>
          <w:bCs/>
          <w:noProof/>
          <w:lang w:val="ka-GE"/>
        </w:rPr>
        <w:t xml:space="preserve"> ხოლო საშუალოვადიან პერიოდში 6,7%-ის ფარგლებშია </w:t>
      </w:r>
      <w:r w:rsidRPr="00BB71C8">
        <w:rPr>
          <w:rFonts w:ascii="Sylfaen" w:hAnsi="Sylfaen" w:cs="Sylfaen"/>
          <w:bCs/>
          <w:noProof/>
          <w:lang w:val="ka-GE"/>
        </w:rPr>
        <w:t>შენარჩუნებული.</w:t>
      </w:r>
    </w:p>
    <w:p w:rsidR="000B616D" w:rsidRDefault="000B616D" w:rsidP="000B616D">
      <w:pPr>
        <w:tabs>
          <w:tab w:val="left" w:pos="1134"/>
        </w:tabs>
        <w:jc w:val="both"/>
        <w:rPr>
          <w:rFonts w:ascii="Sylfaen" w:hAnsi="Sylfaen"/>
          <w:b/>
          <w:lang w:val="ka-GE"/>
        </w:rPr>
      </w:pPr>
    </w:p>
    <w:p w:rsidR="000B616D" w:rsidRPr="00EF2F1B" w:rsidRDefault="000B616D" w:rsidP="000B616D">
      <w:pPr>
        <w:tabs>
          <w:tab w:val="left" w:pos="1134"/>
        </w:tabs>
        <w:ind w:firstLine="426"/>
        <w:jc w:val="both"/>
        <w:rPr>
          <w:rFonts w:ascii="Sylfaen" w:hAnsi="Sylfaen"/>
          <w:b/>
          <w:lang w:val="ka-GE"/>
        </w:rPr>
      </w:pPr>
      <w:r w:rsidRPr="00EF2F1B">
        <w:rPr>
          <w:rFonts w:ascii="Sylfaen" w:hAnsi="Sylfaen"/>
          <w:b/>
          <w:lang w:val="ka-GE"/>
        </w:rPr>
        <w:t>2024 წლის ბიუჯეტი ითვალისწინებს</w:t>
      </w:r>
      <w:r>
        <w:rPr>
          <w:rFonts w:ascii="Sylfaen" w:hAnsi="Sylfaen"/>
          <w:b/>
          <w:lang w:val="ka-GE"/>
        </w:rPr>
        <w:t>:</w:t>
      </w:r>
    </w:p>
    <w:p w:rsidR="000B616D" w:rsidRPr="00D617FF"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D617FF">
        <w:rPr>
          <w:rFonts w:ascii="Sylfaen" w:hAnsi="Sylfaen"/>
          <w:b/>
          <w:lang w:val="ka-GE"/>
        </w:rPr>
        <w:t>სოციალური მიმართულებით</w:t>
      </w:r>
    </w:p>
    <w:p w:rsidR="000B616D" w:rsidRPr="00D617FF"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D617FF">
        <w:rPr>
          <w:rFonts w:ascii="Sylfaen" w:hAnsi="Sylfaen"/>
          <w:sz w:val="22"/>
          <w:szCs w:val="22"/>
          <w:lang w:val="ka-GE"/>
        </w:rPr>
        <w:t>ჯანდაცვისა და სოციალური დაცვის პროგრამების დასაფინანსებლად სამინისტროს დაფინანსება გაზრდილია 8</w:t>
      </w:r>
      <w:r>
        <w:rPr>
          <w:rFonts w:ascii="Sylfaen" w:hAnsi="Sylfaen"/>
          <w:sz w:val="22"/>
          <w:szCs w:val="22"/>
          <w:lang w:val="ka-GE"/>
        </w:rPr>
        <w:t>7</w:t>
      </w:r>
      <w:r w:rsidRPr="00D617FF">
        <w:rPr>
          <w:rFonts w:ascii="Sylfaen" w:hAnsi="Sylfaen"/>
          <w:sz w:val="22"/>
          <w:szCs w:val="22"/>
          <w:lang w:val="ka-GE"/>
        </w:rPr>
        <w:t>0,0 მლნ ლარზე მეტით, რომლის ფარგლებში გათვალისწინებულია:</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70 წლის და მეტი ასაკის პენსიონერთა პენსია იზრდება 50 ლარით და განისაზღვრება 415 ლარის ოდენობით. ამავე კატეგორიის პენსიონერთა პენსია მაღალმთიან დასახლებებში თითქმის 500 ლარს გაუტოლდება;</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70 წლამდე პირთა პენსია იზრდება 20 ლარით და განისაზღვრება 315 ლარის ოდენობით, ხოლო მაღალმთიან დასახლებებში თითქმის 380 ლარს გაუტოლდება;</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გარდა პენსიისა, გათვალისწინებულია მკვეთრად გამოხატული</w:t>
      </w:r>
      <w:r>
        <w:rPr>
          <w:rFonts w:ascii="Sylfaen" w:hAnsi="Sylfaen"/>
          <w:sz w:val="22"/>
          <w:szCs w:val="22"/>
          <w:lang w:val="ka-GE"/>
        </w:rPr>
        <w:t xml:space="preserve"> და 18 წლამდე</w:t>
      </w:r>
      <w:r w:rsidRPr="00D617FF">
        <w:rPr>
          <w:rFonts w:ascii="Sylfaen" w:hAnsi="Sylfaen"/>
          <w:sz w:val="22"/>
          <w:szCs w:val="22"/>
          <w:lang w:val="ka-GE"/>
        </w:rPr>
        <w:t xml:space="preserve"> 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გათვალისწინებულია მიმდინარე წლის ივლისიდა</w:t>
      </w:r>
      <w:r>
        <w:rPr>
          <w:rFonts w:ascii="Sylfaen" w:hAnsi="Sylfaen"/>
          <w:sz w:val="22"/>
          <w:szCs w:val="22"/>
          <w:lang w:val="ka-GE"/>
        </w:rPr>
        <w:t>ნ</w:t>
      </w:r>
      <w:r w:rsidRPr="00D617FF">
        <w:rPr>
          <w:rFonts w:ascii="Sylfaen" w:hAnsi="Sylfaen"/>
          <w:sz w:val="22"/>
          <w:szCs w:val="22"/>
          <w:lang w:val="ka-GE"/>
        </w:rPr>
        <w:t xml:space="preserve"> 200 ლარამდე გაზრდილი ბავშვთა სოციალური დახმარების სრული წლის დაფინანსება;</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ჯამში სოციალური პროგრამების დაფინანსება შეადგენს 5,6 მილიარდ ლარს;</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ჯანდაცვის პროგრამების დასაფინანსებლად გამოყოფილია 1,6 მილიარდი ლარი, მათ შორის გათვალისწინებულია პირველადი ჯანდაცვის პერსონალის ხელფასების 10%-იანი ზრდა;</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დევნილთა სახლებით უზრუნველყოფის მიზნით გათვალისწინებულია 230,0 მლნ ლარი.</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B616D" w:rsidRPr="00FB203F"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FB203F">
        <w:rPr>
          <w:rFonts w:ascii="Sylfaen" w:hAnsi="Sylfaen"/>
          <w:b/>
          <w:lang w:val="ka-GE"/>
        </w:rPr>
        <w:t>განათლების მიმართულებით</w:t>
      </w:r>
    </w:p>
    <w:p w:rsidR="00DD2F42" w:rsidRPr="002C0F50" w:rsidRDefault="00DD2F42" w:rsidP="00DD2F4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Pr>
          <w:rFonts w:ascii="Sylfaen" w:hAnsi="Sylfaen"/>
          <w:sz w:val="22"/>
          <w:szCs w:val="22"/>
          <w:lang w:val="ka-GE"/>
        </w:rPr>
        <w:t xml:space="preserve">გათვალისწინებულია </w:t>
      </w:r>
      <w:r w:rsidRPr="002C0F50">
        <w:rPr>
          <w:rFonts w:ascii="Sylfaen" w:hAnsi="Sylfaen"/>
          <w:sz w:val="22"/>
          <w:szCs w:val="22"/>
          <w:lang w:val="ka-GE"/>
        </w:rPr>
        <w:t>განათლების და მეცნიერების მიმართულებით დაფინანსება გაზრდილია 470,0 მლნ ლარზე მეტით, რომლის ფარგლებშიც:</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 xml:space="preserve">საჯარო სკოლების მასწავლებელთა </w:t>
      </w:r>
      <w:r>
        <w:rPr>
          <w:rFonts w:ascii="Sylfaen" w:hAnsi="Sylfaen"/>
          <w:sz w:val="22"/>
          <w:szCs w:val="22"/>
          <w:lang w:val="ka-GE"/>
        </w:rPr>
        <w:t>ანაზღაურების ზრდა. სამინისტრო მუშაობს მასწავლებელთა ანაზღაურების სისტემის რეფორმაზე და ბიუჯეტის პროექტის საბოლოო ვარიანტის წარმოდგენამდე სამინისტრო დეტალურად გააცნობს მასწავლებლებს და საზოგადოებას აღნიშნული რეფორმის შედეგებს;</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საჯარო სკოლების მშენებლობა-რეაბილიტაციისთვის გამოყოფილია 350,0 მლნ ლარზე მეტი;</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საბავშვო ბაღების მშენებლობა-რეაბილიტაციაზე მიიმართება 225,0 მლნ ლარზე მეტი;</w:t>
      </w:r>
    </w:p>
    <w:p w:rsidR="00DD2F42" w:rsidRPr="00FB203F" w:rsidRDefault="00DD2F42" w:rsidP="00DD2F4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FB203F">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lang w:val="ka-GE"/>
        </w:rPr>
      </w:pPr>
      <w:r>
        <w:rPr>
          <w:rFonts w:ascii="Sylfaen" w:hAnsi="Sylfaen"/>
          <w:b/>
          <w:lang w:val="ka-GE"/>
        </w:rPr>
        <w:t xml:space="preserve">კულტურისა და სპორტის </w:t>
      </w:r>
      <w:r w:rsidRPr="003734A4">
        <w:rPr>
          <w:rFonts w:ascii="Sylfaen" w:hAnsi="Sylfaen"/>
          <w:lang w:val="ka-GE"/>
        </w:rPr>
        <w:t>დაფინანსებაზე</w:t>
      </w:r>
      <w:r>
        <w:rPr>
          <w:rFonts w:ascii="Sylfaen" w:hAnsi="Sylfaen"/>
          <w:lang w:val="ka-GE"/>
        </w:rPr>
        <w:t xml:space="preserve"> ნაერთი ბიუჯეტიდან მიიმართება 850,0 მლნ ლარზე მეტი, ხოლო სახელმწიფო ბიუჯეტის ფაგგლებში გათვალისწინებულია 460,0 მლნ ლარი;</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B616D" w:rsidRPr="00FB203F"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B616D" w:rsidRPr="00C245E0"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C245E0">
        <w:rPr>
          <w:rFonts w:ascii="Sylfaen" w:hAnsi="Sylfaen"/>
          <w:b/>
          <w:lang w:val="ka-GE"/>
        </w:rPr>
        <w:t>თავდაცვისა და უსაფრთხოების მიმართულებით:</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301160">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იზრდება 240 მლნ ლარამდე, რომლის ფარგლებშიც პოლიციელებისა და ჯარისკაცების ხელფასების </w:t>
      </w:r>
      <w:r>
        <w:rPr>
          <w:rFonts w:ascii="Sylfaen" w:hAnsi="Sylfaen"/>
          <w:sz w:val="22"/>
          <w:szCs w:val="22"/>
          <w:lang w:val="ka-GE"/>
        </w:rPr>
        <w:t>10%-იანი ზრდა;</w:t>
      </w:r>
    </w:p>
    <w:p w:rsidR="000B616D" w:rsidRPr="00301160"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301160">
        <w:rPr>
          <w:rFonts w:ascii="Sylfaen" w:hAnsi="Sylfaen"/>
          <w:sz w:val="22"/>
          <w:szCs w:val="22"/>
          <w:lang w:val="ka-GE"/>
        </w:rPr>
        <w:t>თავდაცვის ინფრასტრუქტურასა და შესაძლებლობების განვითარებისათვის გათვალისწინებულია 330,0 მლნ ლარი;</w:t>
      </w:r>
    </w:p>
    <w:p w:rsidR="000B616D" w:rsidRPr="008C00C5"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0B616D" w:rsidRPr="008C00C5"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highlight w:val="yellow"/>
          <w:lang w:val="ka-GE"/>
        </w:rPr>
      </w:pPr>
    </w:p>
    <w:p w:rsidR="000B616D" w:rsidRPr="00EF2F1B"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EF2F1B">
        <w:rPr>
          <w:rFonts w:ascii="Sylfaen" w:hAnsi="Sylfaen"/>
          <w:b/>
          <w:lang w:val="ka-GE"/>
        </w:rPr>
        <w:t>ინფრასტ</w:t>
      </w:r>
      <w:r>
        <w:rPr>
          <w:rFonts w:ascii="Sylfaen" w:hAnsi="Sylfaen"/>
          <w:b/>
          <w:lang w:val="ka-GE"/>
        </w:rPr>
        <w:t>რ</w:t>
      </w:r>
      <w:r w:rsidRPr="00EF2F1B">
        <w:rPr>
          <w:rFonts w:ascii="Sylfaen" w:hAnsi="Sylfaen"/>
          <w:b/>
          <w:lang w:val="ka-GE"/>
        </w:rPr>
        <w:t>უქტურა</w:t>
      </w:r>
    </w:p>
    <w:p w:rsidR="000B616D" w:rsidRPr="00EF2F1B"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EF2F1B">
        <w:rPr>
          <w:rFonts w:ascii="Sylfaen" w:hAnsi="Sylfaen"/>
          <w:sz w:val="22"/>
          <w:szCs w:val="22"/>
          <w:lang w:val="ka-GE"/>
        </w:rPr>
        <w:t>ჯამში, ნაერთი ბიუჯეტიდან ინფრასტრუქტურის განვითარებაზე მიიმართება 6,0 მილიარდ ლარზე მეტი,  მათ შორის:</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მუნიციპალური ინფრასტრუქტურის გაუმჯობესებისთვის გათვალისწინებულია 1,9 მილიარდ ლარზე მეტი;</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წყალმომარაგებისა და წყალარინების სექტორის გაუმჯობესებაზე მიიმართება 500,0 მლნ ლარზე მეტი;</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საგანმანათლებლო ინფრასტრუქტურაზე მიიმართება 700,0 მლნ ლარზე მეტი;</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ტურისტული ინფრასტრუქტურის გაუმჯობესებაზე გათვალისწინებულია 170,0 მლნ ლარზე მეტი;</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lang w:val="ka-GE"/>
        </w:rPr>
      </w:pPr>
      <w:r w:rsidRPr="00AE105A">
        <w:rPr>
          <w:rFonts w:ascii="Sylfaen" w:hAnsi="Sylfaen"/>
          <w:b/>
          <w:lang w:val="ka-GE"/>
        </w:rPr>
        <w:t xml:space="preserve">მცირე და საშუალო ბიზნესის ხელშეწყობის </w:t>
      </w:r>
      <w:r w:rsidRPr="00AE105A">
        <w:rPr>
          <w:rFonts w:ascii="Sylfaen" w:hAnsi="Sylfaen"/>
          <w:lang w:val="ka-GE"/>
        </w:rPr>
        <w:t>მიზნით</w:t>
      </w:r>
      <w:r w:rsidR="00DD2F42">
        <w:rPr>
          <w:rFonts w:ascii="Sylfaen" w:hAnsi="Sylfaen"/>
          <w:lang w:val="ka-GE"/>
        </w:rPr>
        <w:t xml:space="preserve"> 2024</w:t>
      </w:r>
      <w:r w:rsidRPr="00AE105A">
        <w:rPr>
          <w:rFonts w:ascii="Sylfaen" w:hAnsi="Sylfaen"/>
          <w:lang w:val="ka-GE"/>
        </w:rPr>
        <w:t xml:space="preserve"> წელს გათვალისწინებულია 300,0 მლნ ლარზე მეტი.</w:t>
      </w:r>
    </w:p>
    <w:p w:rsidR="000B616D" w:rsidRPr="00AE105A"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AE105A">
        <w:rPr>
          <w:rFonts w:ascii="Sylfaen" w:hAnsi="Sylfaen"/>
          <w:b/>
          <w:lang w:val="ka-GE"/>
        </w:rPr>
        <w:t xml:space="preserve">სოფლის მეურნეობის </w:t>
      </w:r>
      <w:r w:rsidRPr="00AE105A">
        <w:rPr>
          <w:rFonts w:ascii="Sylfaen" w:hAnsi="Sylfaen"/>
          <w:lang w:val="ka-GE"/>
        </w:rPr>
        <w:t>პროგრამების დაფინანსებისთვის გათვალისწინებულია 560,0 მლნ ლარზე მეტი;</w:t>
      </w:r>
    </w:p>
    <w:p w:rsidR="000B616D" w:rsidRPr="00AE105A" w:rsidRDefault="000B616D" w:rsidP="000B616D">
      <w:pPr>
        <w:pStyle w:val="ListParagraph"/>
        <w:tabs>
          <w:tab w:val="left" w:pos="1134"/>
        </w:tabs>
        <w:ind w:left="426"/>
        <w:jc w:val="both"/>
        <w:rPr>
          <w:rFonts w:ascii="Sylfaen" w:hAnsi="Sylfaen"/>
          <w:b/>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AE105A">
        <w:rPr>
          <w:rFonts w:ascii="Sylfaen" w:hAnsi="Sylfaen"/>
          <w:b/>
          <w:lang w:val="ka-GE"/>
        </w:rPr>
        <w:t xml:space="preserve">გარემოს დაცვის </w:t>
      </w:r>
      <w:r w:rsidRPr="00AE105A">
        <w:rPr>
          <w:rFonts w:ascii="Sylfaen" w:hAnsi="Sylfaen"/>
          <w:lang w:val="ka-GE"/>
        </w:rPr>
        <w:t>პროგრამების დაფინანსებისთვის გამოყოფილია 180,0 მლნ ლარამდე;</w:t>
      </w:r>
    </w:p>
    <w:p w:rsidR="000B616D" w:rsidRPr="00AE105A" w:rsidRDefault="000B616D" w:rsidP="000B616D">
      <w:pPr>
        <w:pStyle w:val="ListParagraph"/>
        <w:rPr>
          <w:rFonts w:ascii="Sylfaen" w:hAnsi="Sylfaen"/>
          <w:b/>
          <w:lang w:val="ka-GE"/>
        </w:rPr>
      </w:pPr>
    </w:p>
    <w:p w:rsidR="000B616D" w:rsidRPr="00387993"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387993">
        <w:rPr>
          <w:rFonts w:ascii="Sylfaen" w:hAnsi="Sylfaen"/>
          <w:b/>
          <w:lang w:val="ka-GE"/>
        </w:rPr>
        <w:t>საჯარო მოხელეთა ანაზღაურება</w:t>
      </w:r>
    </w:p>
    <w:p w:rsidR="000B616D" w:rsidRPr="00387993"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387993">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განხორციელებულიცვლილებების შესაბამისად 2024 წელს გათვალისწინებულია სბიუჯეტო ორგანიზაციებში დასაქმებულთა ანაზღაურების 10%-იანი ზრდა;</w:t>
      </w:r>
    </w:p>
    <w:p w:rsidR="007E59A3" w:rsidRPr="000314F1" w:rsidRDefault="00A76637" w:rsidP="0062550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highlight w:val="yellow"/>
          <w:lang w:val="ka-GE"/>
        </w:rPr>
      </w:pPr>
      <w:r w:rsidRPr="000314F1">
        <w:rPr>
          <w:rFonts w:ascii="Sylfaen" w:hAnsi="Sylfaen" w:cs="Sylfaen"/>
          <w:bCs/>
          <w:noProof/>
          <w:sz w:val="22"/>
          <w:szCs w:val="22"/>
          <w:highlight w:val="yellow"/>
          <w:lang w:val="ka-GE"/>
        </w:rPr>
        <w:t xml:space="preserve"> </w:t>
      </w:r>
    </w:p>
    <w:p w:rsidR="00F162FD" w:rsidRDefault="00044987" w:rsidP="00685A5A">
      <w:pPr>
        <w:spacing w:after="0" w:line="276" w:lineRule="auto"/>
        <w:ind w:firstLine="720"/>
        <w:jc w:val="both"/>
        <w:rPr>
          <w:rFonts w:ascii="Sylfaen" w:hAnsi="Sylfaen" w:cs="Sylfaen"/>
          <w:lang w:val="ka-GE"/>
        </w:rPr>
      </w:pPr>
      <w:r w:rsidRPr="00671C42">
        <w:rPr>
          <w:rFonts w:ascii="Sylfaen" w:hAnsi="Sylfaen" w:cs="Sylfaen"/>
          <w:lang w:val="ka-GE"/>
        </w:rPr>
        <w:t>ქვემოთ მოცემულ ცხრილში</w:t>
      </w:r>
      <w:r w:rsidR="00334A00" w:rsidRPr="00671C42">
        <w:rPr>
          <w:rFonts w:ascii="Sylfaen" w:hAnsi="Sylfaen" w:cs="Sylfaen"/>
          <w:lang w:val="ka-GE"/>
        </w:rPr>
        <w:t xml:space="preserve"> (ცხრილი </w:t>
      </w:r>
      <w:r w:rsidR="00291443" w:rsidRPr="00671C42">
        <w:rPr>
          <w:rFonts w:ascii="Sylfaen" w:hAnsi="Sylfaen" w:cs="Sylfaen"/>
          <w:bCs/>
          <w:noProof/>
          <w:sz w:val="20"/>
          <w:lang w:val="ka-GE"/>
        </w:rPr>
        <w:t>№8</w:t>
      </w:r>
      <w:r w:rsidR="00334A00" w:rsidRPr="00671C42">
        <w:rPr>
          <w:rFonts w:ascii="Sylfaen" w:hAnsi="Sylfaen" w:cs="Sylfaen"/>
          <w:bCs/>
          <w:noProof/>
          <w:sz w:val="20"/>
          <w:lang w:val="ka-GE"/>
        </w:rPr>
        <w:t>)</w:t>
      </w:r>
      <w:r w:rsidRPr="00671C42">
        <w:rPr>
          <w:rFonts w:ascii="Sylfaen" w:hAnsi="Sylfaen" w:cs="Sylfaen"/>
          <w:lang w:val="ka-GE"/>
        </w:rPr>
        <w:t xml:space="preserve"> წარმოდგენილია მიმდინარე და კაპიტალური ხარჯების პროგნოზები</w:t>
      </w:r>
      <w:r w:rsidR="006B2766" w:rsidRPr="00671C42">
        <w:rPr>
          <w:rFonts w:ascii="Sylfaen" w:hAnsi="Sylfaen" w:cs="Sylfaen"/>
          <w:lang w:val="ka-GE"/>
        </w:rPr>
        <w:t xml:space="preserve"> 202</w:t>
      </w:r>
      <w:r w:rsidR="00671C42">
        <w:rPr>
          <w:rFonts w:ascii="Sylfaen" w:hAnsi="Sylfaen" w:cs="Sylfaen"/>
          <w:lang w:val="ka-GE"/>
        </w:rPr>
        <w:t>3</w:t>
      </w:r>
      <w:r w:rsidRPr="00671C42">
        <w:rPr>
          <w:rFonts w:ascii="Sylfaen" w:hAnsi="Sylfaen" w:cs="Sylfaen"/>
          <w:lang w:val="ka-GE"/>
        </w:rPr>
        <w:t>-202</w:t>
      </w:r>
      <w:r w:rsidR="006B2766" w:rsidRPr="00671C42">
        <w:rPr>
          <w:rFonts w:ascii="Sylfaen" w:hAnsi="Sylfaen" w:cs="Sylfaen"/>
          <w:lang w:val="ka-GE"/>
        </w:rPr>
        <w:t>7</w:t>
      </w:r>
      <w:r w:rsidRPr="00671C42">
        <w:rPr>
          <w:rFonts w:ascii="Sylfaen" w:hAnsi="Sylfaen" w:cs="Sylfaen"/>
          <w:lang w:val="ka-GE"/>
        </w:rPr>
        <w:t xml:space="preserve"> წლებისთვის:</w:t>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71C42">
        <w:rPr>
          <w:rFonts w:ascii="Sylfaen" w:hAnsi="Sylfaen" w:cs="Sylfaen"/>
          <w:b/>
          <w:bCs/>
          <w:noProof/>
          <w:sz w:val="20"/>
          <w:szCs w:val="22"/>
          <w:lang w:val="ka-GE"/>
        </w:rPr>
        <w:t>ცხრ</w:t>
      </w:r>
      <w:r w:rsidR="00291443" w:rsidRPr="00671C42">
        <w:rPr>
          <w:rFonts w:ascii="Sylfaen" w:hAnsi="Sylfaen" w:cs="Sylfaen"/>
          <w:b/>
          <w:bCs/>
          <w:noProof/>
          <w:sz w:val="20"/>
          <w:szCs w:val="22"/>
          <w:lang w:val="ka-GE"/>
        </w:rPr>
        <w:t>ილი №8</w:t>
      </w:r>
      <w:r w:rsidRPr="00671C42">
        <w:rPr>
          <w:rFonts w:ascii="Sylfaen" w:hAnsi="Sylfaen" w:cs="Sylfaen"/>
          <w:b/>
          <w:bCs/>
          <w:noProof/>
          <w:sz w:val="20"/>
          <w:szCs w:val="22"/>
          <w:lang w:val="ka-GE"/>
        </w:rPr>
        <w:t xml:space="preserve"> - მიმდინარე და კაპიტალური ხარჯების პროგნოზები</w:t>
      </w:r>
    </w:p>
    <w:p w:rsidR="009653F7" w:rsidRDefault="00AD738A" w:rsidP="008C666C">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249" w:type="pct"/>
        <w:tblInd w:w="-431" w:type="dxa"/>
        <w:tblLook w:val="04A0" w:firstRow="1" w:lastRow="0" w:firstColumn="1" w:lastColumn="0" w:noHBand="0" w:noVBand="1"/>
      </w:tblPr>
      <w:tblGrid>
        <w:gridCol w:w="2412"/>
        <w:gridCol w:w="919"/>
        <w:gridCol w:w="918"/>
        <w:gridCol w:w="1100"/>
        <w:gridCol w:w="1100"/>
        <w:gridCol w:w="1100"/>
        <w:gridCol w:w="1100"/>
        <w:gridCol w:w="1103"/>
        <w:gridCol w:w="1100"/>
      </w:tblGrid>
      <w:tr w:rsidR="009B3D09" w:rsidRPr="009B3D09" w:rsidTr="009B3D09">
        <w:trPr>
          <w:trHeight w:val="345"/>
          <w:tblHeader/>
        </w:trPr>
        <w:tc>
          <w:tcPr>
            <w:tcW w:w="1111" w:type="pct"/>
            <w:vMerge w:val="restar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jc w:val="center"/>
              <w:outlineLvl w:val="0"/>
              <w:rPr>
                <w:rFonts w:ascii="Arial" w:eastAsia="Times New Roman" w:hAnsi="Arial" w:cs="Arial"/>
                <w:b/>
                <w:bCs/>
                <w:sz w:val="20"/>
                <w:szCs w:val="20"/>
              </w:rPr>
            </w:pPr>
            <w:r w:rsidRPr="009B3D09">
              <w:rPr>
                <w:rFonts w:ascii="Sylfaen" w:eastAsia="Times New Roman" w:hAnsi="Sylfaen" w:cs="Sylfaen"/>
                <w:b/>
                <w:bCs/>
                <w:sz w:val="20"/>
                <w:szCs w:val="20"/>
              </w:rPr>
              <w:t>დასახელება</w:t>
            </w:r>
          </w:p>
        </w:tc>
        <w:tc>
          <w:tcPr>
            <w:tcW w:w="423" w:type="pct"/>
            <w:tcBorders>
              <w:top w:val="single" w:sz="4" w:space="0" w:color="203764"/>
              <w:left w:val="nil"/>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jc w:val="center"/>
              <w:outlineLvl w:val="0"/>
              <w:rPr>
                <w:rFonts w:ascii="Arial" w:eastAsia="Times New Roman" w:hAnsi="Arial" w:cs="Arial"/>
                <w:b/>
                <w:bCs/>
                <w:sz w:val="20"/>
                <w:szCs w:val="20"/>
              </w:rPr>
            </w:pPr>
            <w:r w:rsidRPr="009B3D09">
              <w:rPr>
                <w:rFonts w:ascii="Arial" w:eastAsia="Times New Roman" w:hAnsi="Arial" w:cs="Arial"/>
                <w:b/>
                <w:bCs/>
                <w:sz w:val="20"/>
                <w:szCs w:val="20"/>
              </w:rPr>
              <w:t>2020</w:t>
            </w:r>
          </w:p>
        </w:tc>
        <w:tc>
          <w:tcPr>
            <w:tcW w:w="423"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2021</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2022</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2023</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2024</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2025</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2026</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Arial" w:eastAsia="Times New Roman" w:hAnsi="Arial" w:cs="Arial"/>
                <w:b/>
                <w:bCs/>
                <w:sz w:val="18"/>
                <w:szCs w:val="18"/>
              </w:rPr>
              <w:t>2027</w:t>
            </w:r>
          </w:p>
        </w:tc>
      </w:tr>
      <w:tr w:rsidR="009B3D09" w:rsidRPr="009B3D09" w:rsidTr="009B3D09">
        <w:trPr>
          <w:trHeight w:val="345"/>
          <w:tblHeader/>
        </w:trPr>
        <w:tc>
          <w:tcPr>
            <w:tcW w:w="1111" w:type="pct"/>
            <w:vMerge/>
            <w:tcBorders>
              <w:top w:val="single" w:sz="4" w:space="0" w:color="203764"/>
              <w:left w:val="single" w:sz="4" w:space="0" w:color="203764"/>
              <w:bottom w:val="single" w:sz="4" w:space="0" w:color="203764"/>
              <w:right w:val="single" w:sz="4" w:space="0" w:color="203764"/>
            </w:tcBorders>
            <w:vAlign w:val="center"/>
            <w:hideMark/>
          </w:tcPr>
          <w:p w:rsidR="009B3D09" w:rsidRPr="009B3D09" w:rsidRDefault="009B3D09" w:rsidP="009B3D09">
            <w:pPr>
              <w:spacing w:after="0" w:line="240" w:lineRule="auto"/>
              <w:outlineLvl w:val="0"/>
              <w:rPr>
                <w:rFonts w:ascii="Arial" w:eastAsia="Times New Roman" w:hAnsi="Arial" w:cs="Arial"/>
                <w:b/>
                <w:bCs/>
                <w:sz w:val="20"/>
                <w:szCs w:val="20"/>
              </w:rPr>
            </w:pPr>
          </w:p>
        </w:tc>
        <w:tc>
          <w:tcPr>
            <w:tcW w:w="423" w:type="pct"/>
            <w:tcBorders>
              <w:top w:val="nil"/>
              <w:left w:val="nil"/>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jc w:val="center"/>
              <w:outlineLvl w:val="0"/>
              <w:rPr>
                <w:rFonts w:ascii="Arial" w:eastAsia="Times New Roman" w:hAnsi="Arial" w:cs="Arial"/>
                <w:b/>
                <w:bCs/>
                <w:sz w:val="20"/>
                <w:szCs w:val="20"/>
              </w:rPr>
            </w:pPr>
            <w:r w:rsidRPr="009B3D09">
              <w:rPr>
                <w:rFonts w:ascii="Sylfaen" w:eastAsia="Times New Roman" w:hAnsi="Sylfaen" w:cs="Sylfaen"/>
                <w:b/>
                <w:bCs/>
                <w:sz w:val="20"/>
                <w:szCs w:val="20"/>
              </w:rPr>
              <w:t>ფაქტი</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ფაქტი</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Sylfaen" w:eastAsia="Times New Roman" w:hAnsi="Sylfaen" w:cs="Arial"/>
                <w:b/>
                <w:bCs/>
                <w:sz w:val="18"/>
                <w:szCs w:val="18"/>
              </w:rPr>
            </w:pPr>
            <w:r w:rsidRPr="009B3D09">
              <w:rPr>
                <w:rFonts w:ascii="Sylfaen" w:eastAsia="Times New Roman" w:hAnsi="Sylfaen" w:cs="Arial"/>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b/>
                <w:bCs/>
                <w:sz w:val="18"/>
                <w:szCs w:val="18"/>
              </w:rPr>
            </w:pPr>
            <w:r w:rsidRPr="009B3D09">
              <w:rPr>
                <w:rFonts w:ascii="Sylfaen" w:eastAsia="Times New Roman" w:hAnsi="Sylfaen" w:cs="Sylfaen"/>
                <w:b/>
                <w:bCs/>
                <w:sz w:val="18"/>
                <w:szCs w:val="18"/>
              </w:rPr>
              <w:t>პროგნოზი</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 </w:t>
            </w:r>
          </w:p>
        </w:tc>
        <w:tc>
          <w:tcPr>
            <w:tcW w:w="2450"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12 921,0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13 407,0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13 518,0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14 434,0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15 243,0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14 688,0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14 753,0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15 768,0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16 887,0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18 071,0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38,6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1 281,0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1 235,0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1 334,0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1 644,0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18 071,0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14 767,2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15 743,0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17 416,0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18 364,0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19 832,0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21 357,0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14 767,2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15 610,9</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17 653,0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19 525,0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20 990,0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22 514,0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24 221,0</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-132,1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237,0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1 161,0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1 158,0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1 157,0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300"/>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14 767,2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15 610,9</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17 841,0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19 785,0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21 500,0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23 474,0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25 310,0</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188,0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260,0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960,0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1 089,0</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კაპიტალური</w:t>
            </w:r>
            <w:r w:rsidRPr="009B3D09">
              <w:rPr>
                <w:rFonts w:ascii="Arial" w:eastAsia="Times New Roman" w:hAnsi="Arial" w:cs="Arial"/>
                <w:b/>
                <w:bCs/>
                <w:sz w:val="20"/>
                <w:szCs w:val="20"/>
              </w:rPr>
              <w:t xml:space="preserve"> </w:t>
            </w:r>
            <w:r w:rsidRPr="009B3D09">
              <w:rPr>
                <w:rFonts w:ascii="Sylfaen" w:eastAsia="Times New Roman" w:hAnsi="Sylfaen" w:cs="Arial"/>
                <w:b/>
                <w:bCs/>
                <w:sz w:val="20"/>
                <w:szCs w:val="20"/>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 </w:t>
            </w:r>
          </w:p>
        </w:tc>
        <w:tc>
          <w:tcPr>
            <w:tcW w:w="2450"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არაფინანსური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2450"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4 055,0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4 236,0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4 100,0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3 960,0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4 480,0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4 688,0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5 679,0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4 669,0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5 024,0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5 374,0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174,4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452,0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1 579,0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709,0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544,0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4 591,0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5 935,0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6 120,0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5 910,0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6 310,0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6 690,0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4 591,0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5 968,2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6 200,0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5 600,0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5 800,0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6 200,0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6 700,0</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33,2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80,0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-490,0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300"/>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4 591,0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5 968,2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6 479,0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6 274,0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6 065,0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6 050,0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6 290,0</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279,0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674,0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265,0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-410,0</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2450"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190,0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241,0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155,0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14,0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-86,0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-45,0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rPr>
            </w:pPr>
            <w:r w:rsidRPr="009B3D09">
              <w:rPr>
                <w:rFonts w:ascii="Calibri" w:eastAsia="Times New Roman" w:hAnsi="Calibri" w:cs="Calibri"/>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outlineLvl w:val="0"/>
              <w:rPr>
                <w:rFonts w:ascii="Calibri" w:eastAsia="Times New Roman" w:hAnsi="Calibri" w:cs="Calibri"/>
              </w:rPr>
            </w:pPr>
            <w:r w:rsidRPr="009B3D09">
              <w:rPr>
                <w:rFonts w:ascii="Calibri" w:eastAsia="Times New Roman" w:hAnsi="Calibri" w:cs="Calibri"/>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390,0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320,0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443,5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320,0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250,0</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53,5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300"/>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443,5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290,0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260,0</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-30,0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5,0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10,0</w:t>
            </w:r>
          </w:p>
        </w:tc>
      </w:tr>
      <w:tr w:rsidR="009B3D09" w:rsidRPr="009B3D09" w:rsidTr="009B3D09">
        <w:trPr>
          <w:trHeight w:val="345"/>
        </w:trPr>
        <w:tc>
          <w:tcPr>
            <w:tcW w:w="4493" w:type="pct"/>
            <w:gridSpan w:val="8"/>
            <w:tcBorders>
              <w:top w:val="single" w:sz="4" w:space="0" w:color="203764"/>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jc w:val="center"/>
              <w:outlineLvl w:val="0"/>
              <w:rPr>
                <w:rFonts w:ascii="Arial" w:eastAsia="Times New Roman" w:hAnsi="Arial" w:cs="Arial"/>
                <w:b/>
                <w:bCs/>
                <w:sz w:val="20"/>
                <w:szCs w:val="20"/>
              </w:rPr>
            </w:pPr>
            <w:r w:rsidRPr="009B3D09">
              <w:rPr>
                <w:rFonts w:ascii="Arial" w:eastAsia="Times New Roman" w:hAnsi="Arial" w:cs="Arial"/>
                <w:b/>
                <w:bCs/>
                <w:sz w:val="20"/>
                <w:szCs w:val="20"/>
              </w:rPr>
              <w:t xml:space="preserve">% </w:t>
            </w:r>
            <w:r w:rsidRPr="009B3D09">
              <w:rPr>
                <w:rFonts w:ascii="Sylfaen" w:eastAsia="Times New Roman" w:hAnsi="Sylfaen" w:cs="Arial"/>
                <w:b/>
                <w:bCs/>
                <w:sz w:val="20"/>
                <w:szCs w:val="20"/>
              </w:rPr>
              <w:t>მშპ</w:t>
            </w:r>
            <w:r w:rsidRPr="009B3D09">
              <w:rPr>
                <w:rFonts w:ascii="Arial" w:eastAsia="Times New Roman" w:hAnsi="Arial" w:cs="Arial"/>
                <w:b/>
                <w:bCs/>
                <w:sz w:val="20"/>
                <w:szCs w:val="20"/>
              </w:rPr>
              <w:t>-</w:t>
            </w:r>
            <w:r w:rsidRPr="009B3D09">
              <w:rPr>
                <w:rFonts w:ascii="Sylfaen" w:eastAsia="Times New Roman" w:hAnsi="Sylfaen" w:cs="Arial"/>
                <w:b/>
                <w:bCs/>
                <w:sz w:val="20"/>
                <w:szCs w:val="20"/>
              </w:rPr>
              <w:t>თან</w:t>
            </w:r>
          </w:p>
        </w:tc>
        <w:tc>
          <w:tcPr>
            <w:tcW w:w="507" w:type="pct"/>
            <w:tcBorders>
              <w:top w:val="nil"/>
              <w:left w:val="nil"/>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jc w:val="center"/>
              <w:outlineLvl w:val="0"/>
              <w:rPr>
                <w:rFonts w:ascii="Arial" w:eastAsia="Times New Roman" w:hAnsi="Arial" w:cs="Arial"/>
                <w:b/>
                <w:bCs/>
                <w:sz w:val="20"/>
                <w:szCs w:val="20"/>
              </w:rPr>
            </w:pPr>
            <w:r w:rsidRPr="009B3D09">
              <w:rPr>
                <w:rFonts w:ascii="Arial" w:eastAsia="Times New Roman" w:hAnsi="Arial" w:cs="Arial"/>
                <w:b/>
                <w:bCs/>
                <w:sz w:val="20"/>
                <w:szCs w:val="20"/>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 </w:t>
            </w:r>
          </w:p>
        </w:tc>
        <w:tc>
          <w:tcPr>
            <w:tcW w:w="2450"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26,2%</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22,2%</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25,1%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21,9%</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21,1%</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22,9%</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22,6%</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1,6%</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24,6%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22,6%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23,4%</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0,8%</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კაპიტალური</w:t>
            </w:r>
            <w:r w:rsidRPr="009B3D09">
              <w:rPr>
                <w:rFonts w:ascii="Arial" w:eastAsia="Times New Roman" w:hAnsi="Arial" w:cs="Arial"/>
                <w:b/>
                <w:bCs/>
                <w:sz w:val="20"/>
                <w:szCs w:val="20"/>
              </w:rPr>
              <w:t xml:space="preserve"> </w:t>
            </w:r>
            <w:r w:rsidRPr="009B3D09">
              <w:rPr>
                <w:rFonts w:ascii="Sylfaen" w:eastAsia="Times New Roman" w:hAnsi="Sylfaen" w:cs="Arial"/>
                <w:b/>
                <w:bCs/>
                <w:sz w:val="20"/>
                <w:szCs w:val="20"/>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9B3D09" w:rsidRPr="009B3D09" w:rsidRDefault="009B3D09" w:rsidP="009B3D09">
            <w:pPr>
              <w:spacing w:after="0" w:line="240" w:lineRule="auto"/>
              <w:outlineLvl w:val="0"/>
              <w:rPr>
                <w:rFonts w:ascii="Sylfaen" w:eastAsia="Times New Roman" w:hAnsi="Sylfaen" w:cs="Arial"/>
                <w:b/>
                <w:bCs/>
                <w:sz w:val="20"/>
                <w:szCs w:val="20"/>
              </w:rPr>
            </w:pPr>
            <w:r w:rsidRPr="009B3D09">
              <w:rPr>
                <w:rFonts w:ascii="Sylfaen" w:eastAsia="Times New Roman" w:hAnsi="Sylfaen" w:cs="Arial"/>
                <w:b/>
                <w:bCs/>
                <w:sz w:val="20"/>
                <w:szCs w:val="20"/>
              </w:rPr>
              <w:t> </w:t>
            </w:r>
          </w:p>
        </w:tc>
        <w:tc>
          <w:tcPr>
            <w:tcW w:w="2450"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არაფინანსური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2450"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8,2%</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7,9%</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6,5%</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6,5%</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1,7%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6,8%</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7,9%</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6,3%</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8,2%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7,3%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6,1%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5,8%</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0,7%</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-0,4%</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ფინანსური</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აქტივების</w:t>
            </w:r>
            <w:r w:rsidRPr="009B3D09">
              <w:rPr>
                <w:rFonts w:ascii="Arial" w:eastAsia="Times New Roman" w:hAnsi="Arial" w:cs="Arial"/>
                <w:b/>
                <w:bCs/>
                <w:sz w:val="18"/>
                <w:szCs w:val="18"/>
              </w:rPr>
              <w:t xml:space="preserve"> </w:t>
            </w:r>
            <w:r w:rsidRPr="009B3D09">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9B3D09" w:rsidRPr="009B3D09" w:rsidRDefault="009B3D09" w:rsidP="009B3D09">
            <w:pPr>
              <w:spacing w:after="0" w:line="240" w:lineRule="auto"/>
              <w:outlineLvl w:val="0"/>
              <w:rPr>
                <w:rFonts w:ascii="Sylfaen" w:eastAsia="Times New Roman" w:hAnsi="Sylfaen" w:cs="Arial"/>
                <w:b/>
                <w:bCs/>
                <w:sz w:val="18"/>
                <w:szCs w:val="18"/>
              </w:rPr>
            </w:pPr>
            <w:r w:rsidRPr="009B3D09">
              <w:rPr>
                <w:rFonts w:ascii="Sylfaen" w:eastAsia="Times New Roman" w:hAnsi="Sylfaen" w:cs="Arial"/>
                <w:b/>
                <w:bCs/>
                <w:sz w:val="18"/>
                <w:szCs w:val="18"/>
              </w:rPr>
              <w:t> </w:t>
            </w:r>
          </w:p>
        </w:tc>
        <w:tc>
          <w:tcPr>
            <w:tcW w:w="2450"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2021-2024 (2020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2022-2025 (2021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34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2023-2026 (2022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დეკემბერი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0,5%</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ივლისი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sz w:val="18"/>
                <w:szCs w:val="18"/>
              </w:rPr>
            </w:pPr>
            <w:r w:rsidRPr="009B3D09">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9B3D09" w:rsidRPr="009B3D09" w:rsidRDefault="009B3D09" w:rsidP="009B3D09">
            <w:pPr>
              <w:spacing w:after="0" w:line="240" w:lineRule="auto"/>
              <w:jc w:val="center"/>
              <w:outlineLvl w:val="0"/>
              <w:rPr>
                <w:rFonts w:ascii="Arial" w:eastAsia="Times New Roman" w:hAnsi="Arial" w:cs="Arial"/>
                <w:i/>
                <w:iCs/>
                <w:sz w:val="18"/>
                <w:szCs w:val="18"/>
              </w:rPr>
            </w:pPr>
            <w:r w:rsidRPr="009B3D09">
              <w:rPr>
                <w:rFonts w:ascii="Arial" w:eastAsia="Times New Roman" w:hAnsi="Arial" w:cs="Arial"/>
                <w:i/>
                <w:iCs/>
                <w:sz w:val="18"/>
                <w:szCs w:val="18"/>
              </w:rPr>
              <w:t> </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vAlign w:val="center"/>
            <w:hideMark/>
          </w:tcPr>
          <w:p w:rsidR="009B3D09" w:rsidRPr="009B3D09" w:rsidRDefault="009B3D09" w:rsidP="009B3D09">
            <w:pPr>
              <w:spacing w:after="0" w:line="240" w:lineRule="auto"/>
              <w:outlineLvl w:val="0"/>
              <w:rPr>
                <w:rFonts w:ascii="Arial" w:eastAsia="Times New Roman" w:hAnsi="Arial" w:cs="Arial"/>
                <w:sz w:val="18"/>
                <w:szCs w:val="18"/>
              </w:rPr>
            </w:pPr>
            <w:r w:rsidRPr="009B3D09">
              <w:rPr>
                <w:rFonts w:ascii="Arial" w:eastAsia="Times New Roman" w:hAnsi="Arial" w:cs="Arial"/>
                <w:sz w:val="18"/>
                <w:szCs w:val="18"/>
              </w:rPr>
              <w:t xml:space="preserve">2024-2027 (2023 </w:t>
            </w:r>
            <w:r w:rsidRPr="009B3D09">
              <w:rPr>
                <w:rFonts w:ascii="Sylfaen" w:eastAsia="Times New Roman" w:hAnsi="Sylfaen" w:cs="Sylfaen"/>
                <w:sz w:val="18"/>
                <w:szCs w:val="18"/>
              </w:rPr>
              <w:t>წლის</w:t>
            </w:r>
            <w:r w:rsidRPr="009B3D09">
              <w:rPr>
                <w:rFonts w:ascii="Arial" w:eastAsia="Times New Roman" w:hAnsi="Arial" w:cs="Arial"/>
                <w:sz w:val="18"/>
                <w:szCs w:val="18"/>
              </w:rPr>
              <w:t xml:space="preserve"> </w:t>
            </w:r>
            <w:r w:rsidRPr="009B3D09">
              <w:rPr>
                <w:rFonts w:ascii="Sylfaen" w:eastAsia="Times New Roman" w:hAnsi="Sylfaen" w:cs="Sylfaen"/>
                <w:sz w:val="18"/>
                <w:szCs w:val="18"/>
              </w:rPr>
              <w:t>სექტემბერი</w:t>
            </w:r>
            <w:r w:rsidRPr="009B3D09">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0,6%</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0,2%</w:t>
            </w:r>
          </w:p>
        </w:tc>
      </w:tr>
      <w:tr w:rsidR="009B3D09" w:rsidRPr="009B3D09" w:rsidTr="009B3D09">
        <w:trPr>
          <w:trHeight w:val="255"/>
        </w:trPr>
        <w:tc>
          <w:tcPr>
            <w:tcW w:w="1111" w:type="pct"/>
            <w:tcBorders>
              <w:top w:val="nil"/>
              <w:left w:val="single" w:sz="4" w:space="0" w:color="203764"/>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ind w:firstLineChars="100" w:firstLine="180"/>
              <w:outlineLvl w:val="0"/>
              <w:rPr>
                <w:rFonts w:ascii="Sylfaen" w:eastAsia="Times New Roman" w:hAnsi="Sylfaen" w:cs="Arial"/>
                <w:i/>
                <w:iCs/>
                <w:sz w:val="18"/>
                <w:szCs w:val="18"/>
              </w:rPr>
            </w:pPr>
            <w:r w:rsidRPr="009B3D09">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9B3D09" w:rsidRPr="009B3D09" w:rsidRDefault="009B3D09" w:rsidP="009B3D09">
            <w:pPr>
              <w:spacing w:after="0" w:line="240" w:lineRule="auto"/>
              <w:jc w:val="center"/>
              <w:outlineLvl w:val="0"/>
              <w:rPr>
                <w:rFonts w:ascii="Arial" w:eastAsia="Times New Roman" w:hAnsi="Arial" w:cs="Arial"/>
                <w:sz w:val="18"/>
                <w:szCs w:val="18"/>
              </w:rPr>
            </w:pPr>
            <w:r w:rsidRPr="009B3D09">
              <w:rPr>
                <w:rFonts w:ascii="Arial" w:eastAsia="Times New Roman" w:hAnsi="Arial" w:cs="Arial"/>
                <w:sz w:val="18"/>
                <w:szCs w:val="18"/>
              </w:rPr>
              <w:t>0,0%</w:t>
            </w:r>
          </w:p>
        </w:tc>
      </w:tr>
    </w:tbl>
    <w:p w:rsidR="009653F7" w:rsidRDefault="009653F7" w:rsidP="00E124CF">
      <w:pPr>
        <w:spacing w:after="0" w:line="276" w:lineRule="auto"/>
        <w:rPr>
          <w:rFonts w:ascii="Sylfaen" w:hAnsi="Sylfaen"/>
          <w:b/>
          <w:i/>
          <w:sz w:val="20"/>
          <w:lang w:val="ka-GE"/>
        </w:rPr>
      </w:pPr>
    </w:p>
    <w:p w:rsidR="00AD4464" w:rsidRDefault="00AD4464" w:rsidP="00E124CF">
      <w:pPr>
        <w:spacing w:after="0" w:line="276" w:lineRule="auto"/>
        <w:rPr>
          <w:rFonts w:ascii="Sylfaen" w:hAnsi="Sylfaen"/>
          <w:b/>
          <w:i/>
          <w:sz w:val="20"/>
          <w:lang w:val="ka-GE"/>
        </w:rPr>
      </w:pPr>
    </w:p>
    <w:p w:rsidR="0067395F" w:rsidRPr="00671C42" w:rsidRDefault="0067395F" w:rsidP="00625504">
      <w:pPr>
        <w:pStyle w:val="Heading2"/>
        <w:ind w:firstLine="720"/>
        <w:jc w:val="both"/>
        <w:rPr>
          <w:b/>
          <w:i/>
          <w:sz w:val="18"/>
          <w:lang w:val="ka-GE"/>
        </w:rPr>
      </w:pPr>
      <w:bookmarkStart w:id="3" w:name="_Toc89118362"/>
      <w:r w:rsidRPr="00625504">
        <w:rPr>
          <w:b/>
          <w:sz w:val="24"/>
          <w:lang w:val="ka-GE"/>
        </w:rPr>
        <w:t xml:space="preserve">2.2 </w:t>
      </w:r>
      <w:r w:rsidR="00606701" w:rsidRPr="00671C42">
        <w:rPr>
          <w:b/>
          <w:sz w:val="24"/>
          <w:lang w:val="ka-GE"/>
        </w:rPr>
        <w:t>საშუალოვადიან პერიოდში ფისკალური ჩარჩოს შესაბამისობა</w:t>
      </w:r>
      <w:r w:rsidR="00625504" w:rsidRPr="00671C42">
        <w:rPr>
          <w:rFonts w:ascii="Sylfaen" w:hAnsi="Sylfaen"/>
          <w:b/>
          <w:sz w:val="24"/>
          <w:lang w:val="ka-GE"/>
        </w:rPr>
        <w:t xml:space="preserve"> </w:t>
      </w:r>
      <w:r w:rsidR="00606701" w:rsidRPr="00671C42">
        <w:rPr>
          <w:b/>
          <w:sz w:val="24"/>
          <w:lang w:val="ka-GE"/>
        </w:rPr>
        <w:t xml:space="preserve">„ეკონომიკური თავისუფლების შესახებ“ საქართველოს ორგანული კანონით გათვალისწინებულ </w:t>
      </w:r>
      <w:r w:rsidRPr="00671C42">
        <w:rPr>
          <w:b/>
          <w:sz w:val="24"/>
          <w:lang w:val="ka-GE"/>
        </w:rPr>
        <w:t xml:space="preserve">ფისკალურ </w:t>
      </w:r>
      <w:r w:rsidR="00606701" w:rsidRPr="00671C42">
        <w:rPr>
          <w:b/>
          <w:sz w:val="24"/>
          <w:lang w:val="ka-GE"/>
        </w:rPr>
        <w:t>წესებთან</w:t>
      </w:r>
      <w:bookmarkEnd w:id="3"/>
      <w:r w:rsidR="00606701" w:rsidRPr="00671C42">
        <w:rPr>
          <w:b/>
          <w:sz w:val="24"/>
          <w:lang w:val="ka-GE"/>
        </w:rPr>
        <w:t xml:space="preserve"> </w:t>
      </w:r>
    </w:p>
    <w:p w:rsidR="00476074" w:rsidRPr="00671C42" w:rsidRDefault="00476074" w:rsidP="0047607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sidRPr="00671C42">
        <w:rPr>
          <w:rFonts w:ascii="Sylfaen" w:hAnsi="Sylfaen" w:cs="Sylfaen"/>
          <w:lang w:val="ka-GE"/>
        </w:rPr>
        <w:t xml:space="preserve">ქვეყანაში </w:t>
      </w:r>
      <w:r w:rsidRPr="00671C42">
        <w:rPr>
          <w:rFonts w:ascii="Sylfaen" w:hAnsi="Sylfaen" w:cs="Sylfaen"/>
          <w:lang w:val="ka-GE"/>
        </w:rPr>
        <w:t>საგანგებო მდგომარეობის გამოცხადებიდან გამომდინარე,</w:t>
      </w:r>
      <w:r w:rsidR="00EA3D3B" w:rsidRPr="00671C42">
        <w:rPr>
          <w:rFonts w:ascii="Sylfaen" w:hAnsi="Sylfaen" w:cs="Sylfaen"/>
          <w:lang w:val="ka-GE"/>
        </w:rPr>
        <w:t xml:space="preserve"> რაც გამოწვეული იყო ახალი კორონავირუსის (</w:t>
      </w:r>
      <w:r w:rsidR="00EA3D3B" w:rsidRPr="00671C42">
        <w:rPr>
          <w:rFonts w:ascii="Sylfaen" w:hAnsi="Sylfaen" w:cs="Sylfaen"/>
        </w:rPr>
        <w:t>COVID-19)</w:t>
      </w:r>
      <w:r w:rsidR="00EA3D3B" w:rsidRPr="00671C42">
        <w:rPr>
          <w:rFonts w:ascii="Sylfaen" w:hAnsi="Sylfaen" w:cs="Sylfaen"/>
          <w:lang w:val="ka-GE"/>
        </w:rPr>
        <w:t xml:space="preserve"> გავრცელებით,</w:t>
      </w:r>
      <w:r w:rsidRPr="00671C42">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671C42" w:rsidRDefault="00476074" w:rsidP="0047607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sidRPr="00671C42">
        <w:rPr>
          <w:rFonts w:ascii="Sylfaen" w:hAnsi="Sylfaen" w:cs="Sylfaen"/>
          <w:lang w:val="ka-GE"/>
        </w:rPr>
        <w:t>,</w:t>
      </w:r>
      <w:r w:rsidRPr="00671C42">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w:t>
      </w:r>
    </w:p>
    <w:p w:rsidR="00DF5464" w:rsidRPr="00671C42" w:rsidRDefault="00476074" w:rsidP="00DF546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sidRPr="00671C42">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w:t>
      </w:r>
      <w:r w:rsidRPr="00671C42">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sidRPr="00671C42">
        <w:rPr>
          <w:rFonts w:ascii="Sylfaen" w:hAnsi="Sylfaen" w:cs="Sylfaen"/>
          <w:lang w:val="ka-GE"/>
        </w:rPr>
        <w:t xml:space="preserve">განხორციელებულიყო </w:t>
      </w:r>
      <w:r w:rsidRPr="00671C42">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w:t>
      </w:r>
      <w:r w:rsidR="006B2766" w:rsidRPr="00671C42">
        <w:rPr>
          <w:rFonts w:ascii="Sylfaen" w:hAnsi="Sylfaen" w:cs="Sylfaen"/>
          <w:lang w:val="ka-GE"/>
        </w:rPr>
        <w:t>, ხოლო 2022 წლის ფაქტიურმა მაჩვენებელ</w:t>
      </w:r>
      <w:r w:rsidR="00DF5464" w:rsidRPr="00671C42">
        <w:rPr>
          <w:rFonts w:ascii="Sylfaen" w:hAnsi="Sylfaen" w:cs="Sylfaen"/>
          <w:lang w:val="ka-GE"/>
        </w:rPr>
        <w:t>ი ჩამოცდა კანონმდებლობით დადგენილ ზღვარს და</w:t>
      </w:r>
      <w:r w:rsidR="006B2766" w:rsidRPr="00671C42">
        <w:rPr>
          <w:rFonts w:ascii="Sylfaen" w:hAnsi="Sylfaen" w:cs="Sylfaen"/>
          <w:lang w:val="ka-GE"/>
        </w:rPr>
        <w:t xml:space="preserve"> </w:t>
      </w:r>
      <w:r w:rsidR="00DF5464" w:rsidRPr="00671C42">
        <w:rPr>
          <w:rFonts w:ascii="Sylfaen" w:hAnsi="Sylfaen" w:cs="Sylfaen"/>
          <w:lang w:val="ka-GE"/>
        </w:rPr>
        <w:t xml:space="preserve">მშპ-სთან მიმართებაში 2,7% </w:t>
      </w:r>
      <w:r w:rsidR="006B2766" w:rsidRPr="00671C42">
        <w:rPr>
          <w:rFonts w:ascii="Sylfaen" w:hAnsi="Sylfaen" w:cs="Sylfaen"/>
          <w:lang w:val="ka-GE"/>
        </w:rPr>
        <w:t>შეადგინა</w:t>
      </w:r>
      <w:r w:rsidR="00DF5464" w:rsidRPr="00671C42">
        <w:rPr>
          <w:rFonts w:ascii="Sylfaen" w:hAnsi="Sylfaen" w:cs="Sylfaen"/>
          <w:lang w:val="ka-GE"/>
        </w:rPr>
        <w:t xml:space="preserve">. </w:t>
      </w:r>
      <w:r w:rsidRPr="00671C42">
        <w:rPr>
          <w:rFonts w:ascii="Sylfaen" w:hAnsi="Sylfaen" w:cs="Sylfaen"/>
          <w:lang w:val="ka-GE"/>
        </w:rPr>
        <w:t>2023 წლისათვის</w:t>
      </w:r>
      <w:r w:rsidR="00DF5464" w:rsidRPr="00671C42">
        <w:rPr>
          <w:rFonts w:ascii="Sylfaen" w:hAnsi="Sylfaen" w:cs="Sylfaen"/>
          <w:lang w:val="ka-GE"/>
        </w:rPr>
        <w:t xml:space="preserve"> სახელმწიფოს ერთიანი ბიუჯეტის უარყოფითი მთლიანი სალდო დაიგეგმა  (-2 131,0) მლნ ლარის ოდენობით, რაც მშპ-ის 3%-ს შეადგენს, ამასთან გადამუშავებულ პროგნოზებში, მათ შორის მთლიანი შიდა პროდუქტის დაკორექტირებული მაჩვენებლის გათვალისწინებით 2023 წელს სახელმწიფოს ერთიანი ბიუჯეტის დეფიციტი</w:t>
      </w:r>
      <w:r w:rsidR="0098546A">
        <w:rPr>
          <w:rFonts w:ascii="Sylfaen" w:hAnsi="Sylfaen" w:cs="Sylfaen"/>
          <w:lang w:val="ka-GE"/>
        </w:rPr>
        <w:t xml:space="preserve"> 3</w:t>
      </w:r>
      <w:r w:rsidR="00DF5464" w:rsidRPr="00671C42">
        <w:rPr>
          <w:rFonts w:ascii="Sylfaen" w:hAnsi="Sylfaen" w:cs="Sylfaen"/>
          <w:lang w:val="ka-GE"/>
        </w:rPr>
        <w:t>%-ს</w:t>
      </w:r>
      <w:r w:rsidR="0098546A">
        <w:rPr>
          <w:rFonts w:ascii="Sylfaen" w:hAnsi="Sylfaen" w:cs="Sylfaen"/>
          <w:lang w:val="ka-GE"/>
        </w:rPr>
        <w:t xml:space="preserve"> (-2 346</w:t>
      </w:r>
      <w:r w:rsidR="00DF5464" w:rsidRPr="00671C42">
        <w:rPr>
          <w:rFonts w:ascii="Sylfaen" w:hAnsi="Sylfaen" w:cs="Sylfaen"/>
          <w:lang w:val="ka-GE"/>
        </w:rPr>
        <w:t xml:space="preserve">,0 მლნ ლარი) შეადგენს. </w:t>
      </w:r>
    </w:p>
    <w:p w:rsidR="00FB493D" w:rsidRDefault="002A7FB3" w:rsidP="00DF5464">
      <w:pPr>
        <w:tabs>
          <w:tab w:val="left" w:pos="90"/>
        </w:tabs>
        <w:spacing w:after="0" w:line="276" w:lineRule="auto"/>
        <w:ind w:firstLine="720"/>
        <w:jc w:val="both"/>
        <w:rPr>
          <w:rFonts w:ascii="Sylfaen" w:hAnsi="Sylfaen" w:cs="Sylfaen"/>
          <w:lang w:val="ka-GE"/>
        </w:rPr>
      </w:pPr>
      <w:r>
        <w:rPr>
          <w:rFonts w:ascii="Sylfaen" w:hAnsi="Sylfaen" w:cs="Sylfaen"/>
        </w:rPr>
        <w:t xml:space="preserve">2024 </w:t>
      </w:r>
      <w:r>
        <w:rPr>
          <w:rFonts w:ascii="Sylfaen" w:hAnsi="Sylfaen" w:cs="Sylfaen"/>
          <w:lang w:val="ka-GE"/>
        </w:rPr>
        <w:t xml:space="preserve">წელს </w:t>
      </w:r>
      <w:r w:rsidR="00FB493D">
        <w:rPr>
          <w:rFonts w:ascii="Sylfaen" w:hAnsi="Sylfaen" w:cs="Sylfaen"/>
          <w:lang w:val="ka-GE"/>
        </w:rPr>
        <w:t xml:space="preserve">ნაერთი ბიუჯეტის მთლიანი სალდო </w:t>
      </w:r>
      <w:r>
        <w:rPr>
          <w:rFonts w:ascii="Sylfaen" w:hAnsi="Sylfaen" w:cs="Sylfaen"/>
          <w:lang w:val="ka-GE"/>
        </w:rPr>
        <w:t>მიმდინარე წლის ივლისის პროგნოზთან მიმართებაში გაზრდილია 162</w:t>
      </w:r>
      <w:proofErr w:type="gramStart"/>
      <w:r>
        <w:rPr>
          <w:rFonts w:ascii="Sylfaen" w:hAnsi="Sylfaen" w:cs="Sylfaen"/>
          <w:lang w:val="ka-GE"/>
        </w:rPr>
        <w:t>,0</w:t>
      </w:r>
      <w:proofErr w:type="gramEnd"/>
      <w:r>
        <w:rPr>
          <w:rFonts w:ascii="Sylfaen" w:hAnsi="Sylfaen" w:cs="Sylfaen"/>
          <w:lang w:val="ka-GE"/>
        </w:rPr>
        <w:t xml:space="preserve"> მლნ ლარით და</w:t>
      </w:r>
      <w:r w:rsidR="00462524">
        <w:rPr>
          <w:rFonts w:ascii="Sylfaen" w:hAnsi="Sylfaen" w:cs="Sylfaen"/>
        </w:rPr>
        <w:t xml:space="preserve"> </w:t>
      </w:r>
      <w:r w:rsidR="00462524">
        <w:rPr>
          <w:rFonts w:ascii="Sylfaen" w:hAnsi="Sylfaen" w:cs="Sylfaen"/>
          <w:lang w:val="ka-GE"/>
        </w:rPr>
        <w:t xml:space="preserve">შეადგენს (-2 187,0) მლნ ლარს, რაც მშპ-ის 2,6%-ია. </w:t>
      </w:r>
      <w:r>
        <w:rPr>
          <w:rFonts w:ascii="Sylfaen" w:hAnsi="Sylfaen" w:cs="Sylfaen"/>
          <w:lang w:val="ka-GE"/>
        </w:rPr>
        <w:t xml:space="preserve"> </w:t>
      </w:r>
    </w:p>
    <w:p w:rsidR="006B2766" w:rsidRPr="00671C42" w:rsidRDefault="00DF5464" w:rsidP="00DF546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 xml:space="preserve">2024 </w:t>
      </w:r>
      <w:r w:rsidR="00FB493D">
        <w:rPr>
          <w:rFonts w:ascii="Sylfaen" w:hAnsi="Sylfaen" w:cs="Sylfaen"/>
          <w:lang w:val="ka-GE"/>
        </w:rPr>
        <w:t>წლის</w:t>
      </w:r>
      <w:r w:rsidRPr="00671C42">
        <w:rPr>
          <w:rFonts w:ascii="Sylfaen" w:hAnsi="Sylfaen" w:cs="Sylfaen"/>
          <w:lang w:val="ka-GE"/>
        </w:rPr>
        <w:t>თვის სახელმწიფოს ერთიანი ბიუჯეტის უარყოფითი მთლიანი სალდო დაგეგმილი იყო (-1 868,0) მლნ ლარის ოდენობით, რაც მშპ-ის 2,3 პროცენტია, გადამუშავებულ პროგნოზებში</w:t>
      </w:r>
      <w:r w:rsidR="00FB493D">
        <w:rPr>
          <w:rFonts w:ascii="Sylfaen" w:hAnsi="Sylfaen" w:cs="Sylfaen"/>
          <w:lang w:val="ka-GE"/>
        </w:rPr>
        <w:t xml:space="preserve"> 2024 წლის</w:t>
      </w:r>
      <w:r w:rsidRPr="00671C42">
        <w:rPr>
          <w:rFonts w:ascii="Sylfaen" w:hAnsi="Sylfaen" w:cs="Sylfaen"/>
          <w:lang w:val="ka-GE"/>
        </w:rPr>
        <w:t xml:space="preserve"> </w:t>
      </w:r>
      <w:r w:rsidR="0098546A">
        <w:rPr>
          <w:rFonts w:ascii="Sylfaen" w:hAnsi="Sylfaen" w:cs="Sylfaen"/>
          <w:lang w:val="ka-GE"/>
        </w:rPr>
        <w:t>სახელ</w:t>
      </w:r>
      <w:r w:rsidRPr="00671C42">
        <w:rPr>
          <w:rFonts w:ascii="Sylfaen" w:hAnsi="Sylfaen" w:cs="Sylfaen"/>
          <w:lang w:val="ka-GE"/>
        </w:rPr>
        <w:t>მ</w:t>
      </w:r>
      <w:r w:rsidR="0098546A">
        <w:rPr>
          <w:rFonts w:ascii="Sylfaen" w:hAnsi="Sylfaen" w:cs="Sylfaen"/>
          <w:lang w:val="ka-GE"/>
        </w:rPr>
        <w:t>წ</w:t>
      </w:r>
      <w:r w:rsidRPr="00671C42">
        <w:rPr>
          <w:rFonts w:ascii="Sylfaen" w:hAnsi="Sylfaen" w:cs="Sylfaen"/>
          <w:lang w:val="ka-GE"/>
        </w:rPr>
        <w:t>იფოს ერთიანი ბიუჯეტის უარყოფითი მთლიანი</w:t>
      </w:r>
      <w:r w:rsidR="0098546A">
        <w:rPr>
          <w:rFonts w:ascii="Sylfaen" w:hAnsi="Sylfaen" w:cs="Sylfaen"/>
          <w:lang w:val="ka-GE"/>
        </w:rPr>
        <w:t xml:space="preserve"> სალდო შეადგენს (-2 162,0) მლნ ლარს, რაც მშპ-ის 2,5%-ია. საშუალოვადიან პერიოდში დეფიციტის მაჩვენებელი 2025 წელს 2,3%, 2026 წელს - 2,2%, ხოლო 2027 წელს 2,1%-ია</w:t>
      </w:r>
      <w:r w:rsidRPr="00671C42">
        <w:rPr>
          <w:rFonts w:ascii="Sylfaen" w:hAnsi="Sylfaen" w:cs="Sylfaen"/>
          <w:lang w:val="ka-GE"/>
        </w:rPr>
        <w:t xml:space="preserve">.  </w:t>
      </w:r>
    </w:p>
    <w:p w:rsidR="007E59A3" w:rsidRPr="00671C42" w:rsidRDefault="00476074" w:rsidP="00DF546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 xml:space="preserve"> </w:t>
      </w:r>
      <w:r w:rsidR="007E59A3" w:rsidRPr="00671C42">
        <w:rPr>
          <w:rFonts w:ascii="Sylfaen" w:hAnsi="Sylfaen" w:cs="Sylfaen"/>
          <w:lang w:val="ka-GE"/>
        </w:rPr>
        <w:t xml:space="preserve">განახლებული პროგნოებით </w:t>
      </w:r>
      <w:r w:rsidR="007E59A3" w:rsidRPr="00671C42">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2A7FB3" w:rsidRPr="002A7FB3" w:rsidRDefault="002A7FB3" w:rsidP="002A7FB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Theme="minorHAnsi" w:hAnsi="Sylfaen" w:cs="Sylfaen"/>
          <w:bCs/>
          <w:noProof/>
          <w:sz w:val="22"/>
          <w:szCs w:val="22"/>
          <w:lang w:val="ka-GE" w:eastAsia="en-US"/>
        </w:rPr>
      </w:pPr>
      <w:r w:rsidRPr="002A7FB3">
        <w:rPr>
          <w:rFonts w:ascii="Sylfaen" w:eastAsiaTheme="minorHAnsi" w:hAnsi="Sylfaen" w:cs="Sylfaen"/>
          <w:bCs/>
          <w:noProof/>
          <w:sz w:val="22"/>
          <w:szCs w:val="22"/>
          <w:lang w:val="ka-GE" w:eastAsia="en-US"/>
        </w:rPr>
        <w:t>2024 წელს სახელმწიფოს ერთიანი ბიუჯეტის უარყოფითი მთლიანი სალდო, განისაზღვრება 2 162,0 მლნ ლარით, რაც პროგნოზირებული მთლიანი შიდა პროდუქტის (მშპ-ის) 2.5%-ს შეადგენს (დადგენილი ზღვარი – მშპ-ის 3%);</w:t>
      </w:r>
    </w:p>
    <w:p w:rsidR="002A7FB3" w:rsidRPr="002A7FB3" w:rsidRDefault="002A7FB3" w:rsidP="002A7FB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Theme="minorHAnsi" w:hAnsi="Sylfaen" w:cs="Sylfaen"/>
          <w:bCs/>
          <w:noProof/>
          <w:sz w:val="22"/>
          <w:szCs w:val="22"/>
          <w:lang w:val="ka-GE" w:eastAsia="en-US"/>
        </w:rPr>
      </w:pPr>
      <w:r w:rsidRPr="002A7FB3">
        <w:rPr>
          <w:rFonts w:ascii="Sylfaen" w:eastAsiaTheme="minorHAnsi" w:hAnsi="Sylfaen" w:cs="Sylfaen"/>
          <w:bCs/>
          <w:noProof/>
          <w:sz w:val="22"/>
          <w:szCs w:val="22"/>
          <w:lang w:val="ka-GE" w:eastAsia="en-US"/>
        </w:rPr>
        <w:t>2024 წლის ბოლოსთვის საქართველოს მთავრობის ვალის ზღვრული მოცულობა − მთლიანი შიდა პროდუქტის (მშპ-ის) 38.2%-ით,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31 დეკემბრის მდგომარეობით) − მთლიანი შიდა პროდუქტის (მშპ-ის) 0.1%-ით − ჯამი: მშპ-ის 38.3% (დადგენილი ზღვარი – მშპ-ის 60%).</w:t>
      </w:r>
    </w:p>
    <w:p w:rsidR="007E59A3" w:rsidRPr="00671C42" w:rsidRDefault="007E59A3" w:rsidP="0062550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71C42">
        <w:rPr>
          <w:rFonts w:ascii="Sylfaen" w:hAnsi="Sylfaen" w:cs="Sylfaen"/>
          <w:bCs/>
          <w:noProof/>
          <w:sz w:val="22"/>
          <w:szCs w:val="22"/>
          <w:lang w:val="ka-GE"/>
        </w:rPr>
        <w:tab/>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w:t>
      </w:r>
      <w:r w:rsidR="00625504" w:rsidRPr="00671C42">
        <w:rPr>
          <w:rFonts w:ascii="Sylfaen" w:hAnsi="Sylfaen" w:cs="Sylfaen"/>
          <w:bCs/>
          <w:noProof/>
          <w:sz w:val="22"/>
          <w:szCs w:val="22"/>
          <w:lang w:val="ka-GE"/>
        </w:rPr>
        <w:t xml:space="preserve"> 2024 წელს </w:t>
      </w:r>
      <w:r w:rsidR="00025F53">
        <w:rPr>
          <w:rFonts w:ascii="Sylfaen" w:hAnsi="Sylfaen" w:cs="Sylfaen"/>
          <w:bCs/>
          <w:noProof/>
          <w:sz w:val="22"/>
          <w:szCs w:val="22"/>
          <w:lang w:val="ka-GE"/>
        </w:rPr>
        <w:t>(-</w:t>
      </w:r>
      <w:r w:rsidRPr="00671C42">
        <w:rPr>
          <w:rFonts w:ascii="Sylfaen" w:hAnsi="Sylfaen" w:cs="Sylfaen"/>
          <w:bCs/>
          <w:noProof/>
          <w:sz w:val="22"/>
          <w:szCs w:val="22"/>
          <w:lang w:val="ka-GE"/>
        </w:rPr>
        <w:t>2 </w:t>
      </w:r>
      <w:r w:rsidR="00625504" w:rsidRPr="00671C42">
        <w:rPr>
          <w:rFonts w:ascii="Sylfaen" w:hAnsi="Sylfaen" w:cs="Sylfaen"/>
          <w:bCs/>
          <w:noProof/>
          <w:sz w:val="22"/>
          <w:szCs w:val="22"/>
          <w:lang w:val="ka-GE"/>
        </w:rPr>
        <w:t>1</w:t>
      </w:r>
      <w:r w:rsidR="002A7FB3">
        <w:rPr>
          <w:rFonts w:ascii="Sylfaen" w:hAnsi="Sylfaen" w:cs="Sylfaen"/>
          <w:bCs/>
          <w:noProof/>
          <w:sz w:val="22"/>
          <w:szCs w:val="22"/>
          <w:lang w:val="ka-GE"/>
        </w:rPr>
        <w:t>72</w:t>
      </w:r>
      <w:r w:rsidRPr="00671C42">
        <w:rPr>
          <w:rFonts w:ascii="Sylfaen" w:hAnsi="Sylfaen" w:cs="Sylfaen"/>
          <w:bCs/>
          <w:noProof/>
          <w:sz w:val="22"/>
          <w:szCs w:val="22"/>
          <w:lang w:val="ka-GE"/>
        </w:rPr>
        <w:t>,0</w:t>
      </w:r>
      <w:r w:rsidR="00025F53">
        <w:rPr>
          <w:rFonts w:ascii="Sylfaen" w:hAnsi="Sylfaen" w:cs="Sylfaen"/>
          <w:bCs/>
          <w:noProof/>
          <w:sz w:val="22"/>
          <w:szCs w:val="22"/>
          <w:lang w:val="ka-GE"/>
        </w:rPr>
        <w:t>)</w:t>
      </w:r>
      <w:r w:rsidRPr="00671C42">
        <w:rPr>
          <w:rFonts w:ascii="Sylfaen" w:hAnsi="Sylfaen" w:cs="Sylfaen"/>
          <w:bCs/>
          <w:noProof/>
          <w:sz w:val="22"/>
          <w:szCs w:val="22"/>
          <w:lang w:val="ka-GE"/>
        </w:rPr>
        <w:t xml:space="preserve"> მლნ ლარია და მშპ-ს 2,</w:t>
      </w:r>
      <w:r w:rsidR="00625504" w:rsidRPr="00671C42">
        <w:rPr>
          <w:rFonts w:ascii="Sylfaen" w:hAnsi="Sylfaen" w:cs="Sylfaen"/>
          <w:bCs/>
          <w:noProof/>
          <w:sz w:val="22"/>
          <w:szCs w:val="22"/>
          <w:lang w:val="ka-GE"/>
        </w:rPr>
        <w:t>5</w:t>
      </w:r>
      <w:r w:rsidRPr="00671C42">
        <w:rPr>
          <w:rFonts w:ascii="Sylfaen" w:hAnsi="Sylfaen" w:cs="Sylfaen"/>
          <w:bCs/>
          <w:noProof/>
          <w:sz w:val="22"/>
          <w:szCs w:val="22"/>
          <w:lang w:val="ka-GE"/>
        </w:rPr>
        <w:t>%-ს შეადგენს.</w:t>
      </w:r>
    </w:p>
    <w:p w:rsidR="00F162FD" w:rsidRDefault="00B967E4" w:rsidP="00B967E4">
      <w:pPr>
        <w:spacing w:line="276" w:lineRule="auto"/>
        <w:ind w:firstLine="720"/>
        <w:jc w:val="both"/>
        <w:rPr>
          <w:rFonts w:ascii="Sylfaen" w:hAnsi="Sylfaen" w:cs="Sylfaen"/>
          <w:bCs/>
          <w:noProof/>
          <w:sz w:val="20"/>
          <w:lang w:val="ka-GE"/>
        </w:rPr>
      </w:pPr>
      <w:r w:rsidRPr="00671C42">
        <w:rPr>
          <w:rFonts w:ascii="Sylfaen" w:hAnsi="Sylfaen" w:cs="Sylfaen"/>
          <w:lang w:val="ka-GE"/>
        </w:rPr>
        <w:t>202</w:t>
      </w:r>
      <w:r w:rsidR="002A7FB3">
        <w:rPr>
          <w:rFonts w:ascii="Sylfaen" w:hAnsi="Sylfaen" w:cs="Sylfaen"/>
          <w:lang w:val="ka-GE"/>
        </w:rPr>
        <w:t>3</w:t>
      </w:r>
      <w:r w:rsidRPr="00671C42">
        <w:rPr>
          <w:rFonts w:ascii="Sylfaen" w:hAnsi="Sylfaen" w:cs="Sylfaen"/>
          <w:lang w:val="ka-GE"/>
        </w:rPr>
        <w:t>-202</w:t>
      </w:r>
      <w:r w:rsidR="00625504" w:rsidRPr="00671C42">
        <w:rPr>
          <w:rFonts w:ascii="Sylfaen" w:hAnsi="Sylfaen" w:cs="Sylfaen"/>
          <w:lang w:val="ka-GE"/>
        </w:rPr>
        <w:t>7</w:t>
      </w:r>
      <w:r w:rsidRPr="00671C42">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w:t>
      </w:r>
      <w:r w:rsidR="002A7FB3">
        <w:rPr>
          <w:rFonts w:ascii="Sylfaen" w:hAnsi="Sylfaen" w:cs="Sylfaen"/>
          <w:lang w:val="ka-GE"/>
        </w:rPr>
        <w:t xml:space="preserve"> მოდიფიცირებული</w:t>
      </w:r>
      <w:r w:rsidRPr="00671C42">
        <w:rPr>
          <w:rFonts w:ascii="Sylfaen" w:hAnsi="Sylfaen" w:cs="Sylfaen"/>
          <w:lang w:val="ka-GE"/>
        </w:rPr>
        <w:t xml:space="preserve"> დეფიციტის პროგნოზ</w:t>
      </w:r>
      <w:r w:rsidR="002A7FB3">
        <w:rPr>
          <w:rFonts w:ascii="Sylfaen" w:hAnsi="Sylfaen" w:cs="Sylfaen"/>
          <w:lang w:val="ka-GE"/>
        </w:rPr>
        <w:t>ები</w:t>
      </w:r>
      <w:r w:rsidRPr="00671C42">
        <w:rPr>
          <w:rFonts w:ascii="Sylfaen" w:hAnsi="Sylfaen" w:cs="Sylfaen"/>
          <w:lang w:val="ka-GE"/>
        </w:rPr>
        <w:t xml:space="preserve"> და მათი შედარება წინა პერიოდის პროგნოზებთან მოცემულია </w:t>
      </w:r>
      <w:r w:rsidR="000848C7" w:rsidRPr="00025F53">
        <w:rPr>
          <w:rFonts w:ascii="Sylfaen" w:hAnsi="Sylfaen" w:cs="Sylfaen"/>
          <w:lang w:val="ka-GE"/>
        </w:rPr>
        <w:t xml:space="preserve">№9 </w:t>
      </w:r>
      <w:r w:rsidRPr="00671C42">
        <w:rPr>
          <w:rFonts w:ascii="Sylfaen" w:hAnsi="Sylfaen" w:cs="Sylfaen"/>
          <w:lang w:val="ka-GE"/>
        </w:rPr>
        <w:t>ცხრილში</w:t>
      </w:r>
      <w:r w:rsidRPr="00025F53">
        <w:rPr>
          <w:rFonts w:ascii="Sylfaen" w:hAnsi="Sylfaen" w:cs="Sylfaen"/>
          <w:lang w:val="ka-GE"/>
        </w:rPr>
        <w:t>.</w:t>
      </w:r>
    </w:p>
    <w:p w:rsidR="00F162FD" w:rsidRDefault="00F162FD" w:rsidP="00444998">
      <w:pPr>
        <w:spacing w:after="0" w:line="240" w:lineRule="auto"/>
        <w:ind w:firstLine="709"/>
        <w:jc w:val="both"/>
        <w:rPr>
          <w:noProof/>
          <w:lang w:val="ka-GE"/>
        </w:rPr>
      </w:pPr>
      <w:r>
        <w:rPr>
          <w:noProof/>
          <w:lang w:val="ka-GE"/>
        </w:rPr>
        <w:br w:type="page"/>
      </w:r>
    </w:p>
    <w:p w:rsidR="00625504" w:rsidRDefault="0062550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sectPr w:rsidR="00625504" w:rsidSect="00F23BC2">
          <w:footerReference w:type="default" r:id="rId8"/>
          <w:pgSz w:w="12240" w:h="15840"/>
          <w:pgMar w:top="709" w:right="900" w:bottom="1134" w:left="993" w:header="720" w:footer="720" w:gutter="0"/>
          <w:pgNumType w:start="1"/>
          <w:cols w:space="720"/>
          <w:titlePg/>
          <w:docGrid w:linePitch="360"/>
        </w:sectPr>
      </w:pPr>
    </w:p>
    <w:p w:rsidR="00B967E4" w:rsidRPr="00A20E4E"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Cs w:val="22"/>
          <w:lang w:val="ka-GE"/>
        </w:rPr>
      </w:pPr>
      <w:r w:rsidRPr="00B40253">
        <w:rPr>
          <w:rFonts w:ascii="Sylfaen" w:hAnsi="Sylfaen" w:cs="Sylfaen"/>
          <w:b/>
          <w:bCs/>
          <w:noProof/>
          <w:szCs w:val="22"/>
          <w:lang w:val="ka-GE"/>
        </w:rPr>
        <w:t>ცხრილი №9 - ბიუჯეტის დეფიციტის პროგნოზების შედარება</w:t>
      </w:r>
    </w:p>
    <w:p w:rsidR="00B967E4" w:rsidRDefault="008C666C" w:rsidP="008C66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379" w:type="pct"/>
        <w:tblInd w:w="-856" w:type="dxa"/>
        <w:tblLayout w:type="fixed"/>
        <w:tblLook w:val="04A0" w:firstRow="1" w:lastRow="0" w:firstColumn="1" w:lastColumn="0" w:noHBand="0" w:noVBand="1"/>
      </w:tblPr>
      <w:tblGrid>
        <w:gridCol w:w="1275"/>
        <w:gridCol w:w="854"/>
        <w:gridCol w:w="854"/>
        <w:gridCol w:w="854"/>
        <w:gridCol w:w="857"/>
        <w:gridCol w:w="855"/>
        <w:gridCol w:w="849"/>
        <w:gridCol w:w="855"/>
        <w:gridCol w:w="828"/>
        <w:gridCol w:w="858"/>
        <w:gridCol w:w="846"/>
        <w:gridCol w:w="846"/>
        <w:gridCol w:w="993"/>
        <w:gridCol w:w="852"/>
        <w:gridCol w:w="849"/>
        <w:gridCol w:w="855"/>
        <w:gridCol w:w="858"/>
        <w:gridCol w:w="9"/>
      </w:tblGrid>
      <w:tr w:rsidR="009B3D09" w:rsidRPr="009B3D09" w:rsidTr="00A20E4E">
        <w:trPr>
          <w:gridAfter w:val="1"/>
          <w:wAfter w:w="4" w:type="pct"/>
          <w:trHeight w:val="384"/>
        </w:trPr>
        <w:tc>
          <w:tcPr>
            <w:tcW w:w="424" w:type="pct"/>
            <w:vMerge w:val="restart"/>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Sylfaen" w:eastAsia="Times New Roman" w:hAnsi="Sylfaen" w:cs="Sylfaen"/>
                <w:b/>
                <w:bCs/>
                <w:sz w:val="16"/>
                <w:szCs w:val="16"/>
              </w:rPr>
              <w:t>დასახელება</w:t>
            </w:r>
          </w:p>
        </w:tc>
        <w:tc>
          <w:tcPr>
            <w:tcW w:w="2262" w:type="pct"/>
            <w:gridSpan w:val="8"/>
            <w:tcBorders>
              <w:top w:val="single" w:sz="4" w:space="0" w:color="1F4E78"/>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Sylfaen" w:eastAsia="Times New Roman" w:hAnsi="Sylfaen" w:cs="Arial"/>
                <w:b/>
                <w:bCs/>
                <w:sz w:val="16"/>
                <w:szCs w:val="16"/>
              </w:rPr>
            </w:pPr>
            <w:r w:rsidRPr="00A20E4E">
              <w:rPr>
                <w:rFonts w:ascii="Sylfaen" w:eastAsia="Times New Roman" w:hAnsi="Sylfaen" w:cs="Arial"/>
                <w:b/>
                <w:bCs/>
                <w:sz w:val="20"/>
                <w:szCs w:val="16"/>
              </w:rPr>
              <w:t>ნაერთი ბიუჯეტი</w:t>
            </w:r>
          </w:p>
        </w:tc>
        <w:tc>
          <w:tcPr>
            <w:tcW w:w="2311" w:type="pct"/>
            <w:gridSpan w:val="8"/>
            <w:tcBorders>
              <w:top w:val="single" w:sz="4" w:space="0" w:color="1F4E78"/>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Sylfaen" w:eastAsia="Times New Roman" w:hAnsi="Sylfaen" w:cs="Arial"/>
                <w:b/>
                <w:bCs/>
                <w:sz w:val="16"/>
                <w:szCs w:val="16"/>
              </w:rPr>
            </w:pPr>
            <w:r w:rsidRPr="00A20E4E">
              <w:rPr>
                <w:rFonts w:ascii="Sylfaen" w:eastAsia="Times New Roman" w:hAnsi="Sylfaen" w:cs="Arial"/>
                <w:b/>
                <w:bCs/>
                <w:sz w:val="20"/>
                <w:szCs w:val="16"/>
              </w:rPr>
              <w:t>სახელმწიფოს ერთიანი ბიუჯეტი</w:t>
            </w:r>
          </w:p>
        </w:tc>
      </w:tr>
      <w:tr w:rsidR="009B3D09" w:rsidRPr="009B3D09" w:rsidTr="00A20E4E">
        <w:trPr>
          <w:trHeight w:val="255"/>
        </w:trPr>
        <w:tc>
          <w:tcPr>
            <w:tcW w:w="424" w:type="pct"/>
            <w:vMerge/>
            <w:tcBorders>
              <w:top w:val="single" w:sz="4" w:space="0" w:color="1F4E78"/>
              <w:left w:val="single" w:sz="4" w:space="0" w:color="1F4E78"/>
              <w:bottom w:val="single" w:sz="4" w:space="0" w:color="1F4E78"/>
              <w:right w:val="single" w:sz="4" w:space="0" w:color="1F4E78"/>
            </w:tcBorders>
            <w:vAlign w:val="center"/>
            <w:hideMark/>
          </w:tcPr>
          <w:p w:rsidR="009B3D09" w:rsidRPr="009B3D09" w:rsidRDefault="009B3D09" w:rsidP="009B3D09">
            <w:pPr>
              <w:spacing w:after="0" w:line="240" w:lineRule="auto"/>
              <w:rPr>
                <w:rFonts w:ascii="Arial" w:eastAsia="Times New Roman" w:hAnsi="Arial" w:cs="Arial"/>
                <w:b/>
                <w:bCs/>
                <w:sz w:val="16"/>
                <w:szCs w:val="16"/>
              </w:rPr>
            </w:pP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2021</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2022</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2024</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2025</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2026</w:t>
            </w:r>
          </w:p>
        </w:tc>
        <w:tc>
          <w:tcPr>
            <w:tcW w:w="27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2027</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2021</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2022</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2023</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2024</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2025</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2026</w:t>
            </w:r>
          </w:p>
        </w:tc>
        <w:tc>
          <w:tcPr>
            <w:tcW w:w="288" w:type="pct"/>
            <w:gridSpan w:val="2"/>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b/>
                <w:bCs/>
                <w:sz w:val="16"/>
                <w:szCs w:val="16"/>
              </w:rPr>
            </w:pPr>
            <w:r w:rsidRPr="009B3D09">
              <w:rPr>
                <w:rFonts w:ascii="Arial" w:eastAsia="Times New Roman" w:hAnsi="Arial" w:cs="Arial"/>
                <w:b/>
                <w:bCs/>
                <w:sz w:val="16"/>
                <w:szCs w:val="16"/>
              </w:rPr>
              <w:t>2027</w:t>
            </w:r>
          </w:p>
        </w:tc>
      </w:tr>
      <w:tr w:rsidR="00A20E4E" w:rsidRPr="009B3D09" w:rsidTr="00A20E4E">
        <w:trPr>
          <w:trHeight w:val="419"/>
        </w:trPr>
        <w:tc>
          <w:tcPr>
            <w:tcW w:w="5000" w:type="pct"/>
            <w:gridSpan w:val="18"/>
            <w:tcBorders>
              <w:top w:val="nil"/>
              <w:left w:val="single" w:sz="4" w:space="0" w:color="1F4E78"/>
              <w:bottom w:val="single" w:sz="4" w:space="0" w:color="1F4E78"/>
              <w:right w:val="single" w:sz="4" w:space="0" w:color="1F4E78"/>
            </w:tcBorders>
            <w:shd w:val="clear" w:color="000000" w:fill="D9E1F2"/>
            <w:noWrap/>
            <w:vAlign w:val="center"/>
            <w:hideMark/>
          </w:tcPr>
          <w:p w:rsidR="00A20E4E" w:rsidRPr="00A20E4E" w:rsidRDefault="00A20E4E" w:rsidP="00A20E4E">
            <w:pPr>
              <w:spacing w:after="0" w:line="240" w:lineRule="auto"/>
              <w:rPr>
                <w:rFonts w:ascii="Sylfaen" w:eastAsia="Times New Roman" w:hAnsi="Sylfaen" w:cs="Arial"/>
                <w:b/>
                <w:bCs/>
                <w:sz w:val="16"/>
                <w:szCs w:val="16"/>
              </w:rPr>
            </w:pPr>
            <w:r w:rsidRPr="00A20E4E">
              <w:rPr>
                <w:rFonts w:ascii="Sylfaen" w:eastAsia="Times New Roman" w:hAnsi="Sylfaen" w:cs="Arial"/>
                <w:b/>
                <w:bCs/>
                <w:sz w:val="20"/>
                <w:szCs w:val="16"/>
              </w:rPr>
              <w:t>მთლიანი</w:t>
            </w:r>
            <w:r w:rsidRPr="00A20E4E">
              <w:rPr>
                <w:rFonts w:ascii="Arial" w:eastAsia="Times New Roman" w:hAnsi="Arial" w:cs="Arial"/>
                <w:b/>
                <w:bCs/>
                <w:sz w:val="20"/>
                <w:szCs w:val="16"/>
              </w:rPr>
              <w:t xml:space="preserve"> </w:t>
            </w:r>
            <w:r w:rsidRPr="00A20E4E">
              <w:rPr>
                <w:rFonts w:ascii="Sylfaen" w:eastAsia="Times New Roman" w:hAnsi="Sylfaen" w:cs="Arial"/>
                <w:b/>
                <w:bCs/>
                <w:sz w:val="20"/>
                <w:szCs w:val="16"/>
              </w:rPr>
              <w:t>სალდო (ათასი ლარი)</w:t>
            </w:r>
            <w:r w:rsidRPr="00A20E4E">
              <w:rPr>
                <w:rFonts w:ascii="Arial" w:eastAsia="Times New Roman" w:hAnsi="Arial" w:cs="Arial"/>
                <w:sz w:val="20"/>
                <w:szCs w:val="16"/>
              </w:rPr>
              <w:t>  </w:t>
            </w:r>
          </w:p>
        </w:tc>
      </w:tr>
      <w:tr w:rsidR="009B3D09" w:rsidRPr="009B3D09" w:rsidTr="00A20E4E">
        <w:trPr>
          <w:trHeight w:val="638"/>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2021-2024 (2020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დეკემბერი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-4 200,0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-3 991,0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-2 399,0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-1 813,0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-1 646,0</w:t>
            </w:r>
          </w:p>
        </w:tc>
        <w:tc>
          <w:tcPr>
            <w:tcW w:w="282"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75"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-4 188,7</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-4 131,9</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-2 342,6</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-1 819,0</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-1 819,0</w:t>
            </w:r>
          </w:p>
        </w:tc>
        <w:tc>
          <w:tcPr>
            <w:tcW w:w="282"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8" w:type="pct"/>
            <w:gridSpan w:val="2"/>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r>
      <w:tr w:rsidR="009B3D09" w:rsidRPr="009B3D09" w:rsidTr="00A20E4E">
        <w:trPr>
          <w:trHeight w:val="745"/>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2022-2025 (2021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დეკემბერი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-4 574,2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-3 968,0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-2 777,0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-1 959,0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-1 929,0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-1 929,0</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75"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-4 450,0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-3 928,0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-2 750,0</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-1 940,0</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-1 940,0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-1 959,0</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8" w:type="pct"/>
            <w:gridSpan w:val="2"/>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r>
      <w:tr w:rsidR="009B3D09" w:rsidRPr="009B3D09" w:rsidTr="00A20E4E">
        <w:trPr>
          <w:trHeight w:val="722"/>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2023-2026 (2022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დეკემბერი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-4 574,2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-3 793,9</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-2 011,0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-2 381,0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-1 898,0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-2 048,0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-2 093,0</w:t>
            </w:r>
          </w:p>
        </w:tc>
        <w:tc>
          <w:tcPr>
            <w:tcW w:w="275"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-4 450,0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-3 731,5</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-1 963,0</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-2 261,0</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-1 868,0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-2 083,0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-2 153,0</w:t>
            </w:r>
          </w:p>
        </w:tc>
        <w:tc>
          <w:tcPr>
            <w:tcW w:w="288" w:type="pct"/>
            <w:gridSpan w:val="2"/>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r>
      <w:tr w:rsidR="009B3D09" w:rsidRPr="009B3D09" w:rsidTr="00A20E4E">
        <w:trPr>
          <w:trHeight w:val="330"/>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2024-2027 (2023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ივლისი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-4 574,2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-3 793,9</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-1 766,0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-2 288,0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-2 025,0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-1 990,0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-2 064,0</w:t>
            </w:r>
          </w:p>
        </w:tc>
        <w:tc>
          <w:tcPr>
            <w:tcW w:w="27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-2 181,0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-4 450,0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-3 795,8</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-1 600,5</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-2 316,8</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-2 023,8</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-1 966,0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-2 033,7</w:t>
            </w:r>
          </w:p>
        </w:tc>
        <w:tc>
          <w:tcPr>
            <w:tcW w:w="288" w:type="pct"/>
            <w:gridSpan w:val="2"/>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-2 214,5</w:t>
            </w:r>
          </w:p>
        </w:tc>
      </w:tr>
      <w:tr w:rsidR="009B3D09" w:rsidRPr="009B3D09" w:rsidTr="00A20E4E">
        <w:trPr>
          <w:trHeight w:val="702"/>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2024-2027 (2023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სექტემბერი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-4 574,2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-3 793,9</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-1 766,0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-2 330,0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-2 187,0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-1 995,0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-2 071,0</w:t>
            </w:r>
          </w:p>
        </w:tc>
        <w:tc>
          <w:tcPr>
            <w:tcW w:w="27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-2 110,0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-4 480,7</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-3 795,8</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-1 600,5</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-2 346,0</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-2 162,0</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-2 105,0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-2 148,0</w:t>
            </w:r>
          </w:p>
        </w:tc>
        <w:tc>
          <w:tcPr>
            <w:tcW w:w="288" w:type="pct"/>
            <w:gridSpan w:val="2"/>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-2 214,0</w:t>
            </w:r>
          </w:p>
        </w:tc>
      </w:tr>
      <w:tr w:rsidR="00A20E4E" w:rsidRPr="009B3D09" w:rsidTr="00A20E4E">
        <w:trPr>
          <w:trHeight w:val="300"/>
        </w:trPr>
        <w:tc>
          <w:tcPr>
            <w:tcW w:w="5000" w:type="pct"/>
            <w:gridSpan w:val="18"/>
            <w:tcBorders>
              <w:top w:val="nil"/>
              <w:left w:val="single" w:sz="4" w:space="0" w:color="1F4E78"/>
              <w:bottom w:val="single" w:sz="4" w:space="0" w:color="1F4E78"/>
              <w:right w:val="single" w:sz="4" w:space="0" w:color="1F4E78"/>
            </w:tcBorders>
            <w:shd w:val="clear" w:color="000000" w:fill="D9E1F2"/>
            <w:vAlign w:val="center"/>
            <w:hideMark/>
          </w:tcPr>
          <w:p w:rsidR="00A20E4E" w:rsidRPr="00A20E4E" w:rsidRDefault="00A20E4E" w:rsidP="009B3D09">
            <w:pPr>
              <w:spacing w:after="0" w:line="240" w:lineRule="auto"/>
              <w:rPr>
                <w:rFonts w:ascii="Sylfaen" w:eastAsia="Times New Roman" w:hAnsi="Sylfaen" w:cs="Arial"/>
                <w:b/>
                <w:bCs/>
                <w:sz w:val="16"/>
                <w:szCs w:val="16"/>
              </w:rPr>
            </w:pPr>
            <w:r w:rsidRPr="00A20E4E">
              <w:rPr>
                <w:rFonts w:ascii="Sylfaen" w:eastAsia="Times New Roman" w:hAnsi="Sylfaen" w:cs="Arial"/>
                <w:b/>
                <w:bCs/>
                <w:szCs w:val="16"/>
              </w:rPr>
              <w:t>% მშპ-სთა</w:t>
            </w:r>
            <w:r w:rsidRPr="00A20E4E">
              <w:rPr>
                <w:rFonts w:ascii="Sylfaen" w:eastAsia="Times New Roman" w:hAnsi="Sylfaen" w:cs="Arial"/>
                <w:b/>
                <w:bCs/>
                <w:szCs w:val="16"/>
                <w:lang w:val="ka-GE"/>
              </w:rPr>
              <w:t>ნ</w:t>
            </w:r>
            <w:r w:rsidRPr="00A20E4E">
              <w:rPr>
                <w:rFonts w:ascii="Arial" w:eastAsia="Times New Roman" w:hAnsi="Arial" w:cs="Arial"/>
                <w:szCs w:val="16"/>
              </w:rPr>
              <w:t> </w:t>
            </w:r>
          </w:p>
        </w:tc>
      </w:tr>
      <w:tr w:rsidR="009B3D09" w:rsidRPr="009B3D09" w:rsidTr="00A20E4E">
        <w:trPr>
          <w:trHeight w:val="822"/>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2021-2024 (2020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დეკემბერი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-8,5%</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-7,5%</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-4,1%</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-2,9%</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-2,4%</w:t>
            </w:r>
          </w:p>
        </w:tc>
        <w:tc>
          <w:tcPr>
            <w:tcW w:w="282"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75"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-8,5%</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-7,7%</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-4,0%</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-2,9%</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-2,7%</w:t>
            </w:r>
          </w:p>
        </w:tc>
        <w:tc>
          <w:tcPr>
            <w:tcW w:w="282"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8" w:type="pct"/>
            <w:gridSpan w:val="2"/>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r>
      <w:tr w:rsidR="009B3D09" w:rsidRPr="009B3D09" w:rsidTr="00A20E4E">
        <w:trPr>
          <w:trHeight w:val="848"/>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2022-2025 (2021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დეკემბერი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-6,8%</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-4,3%</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-2,8%</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-2,5%</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-2,3%</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75"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-6,7%</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-4,2%</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-2,8%</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-2,5%</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-2,4%</w:t>
            </w:r>
          </w:p>
        </w:tc>
        <w:tc>
          <w:tcPr>
            <w:tcW w:w="284"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8" w:type="pct"/>
            <w:gridSpan w:val="2"/>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r>
      <w:tr w:rsidR="009B3D09" w:rsidRPr="009B3D09" w:rsidTr="00A20E4E">
        <w:trPr>
          <w:trHeight w:val="974"/>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2023-2026 (2022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დეკემბერი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-2,8%</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c>
          <w:tcPr>
            <w:tcW w:w="275" w:type="pct"/>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-6,2%</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-2,7%</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-2,8%</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c>
          <w:tcPr>
            <w:tcW w:w="288" w:type="pct"/>
            <w:gridSpan w:val="2"/>
            <w:tcBorders>
              <w:top w:val="nil"/>
              <w:left w:val="nil"/>
              <w:bottom w:val="single" w:sz="4" w:space="0" w:color="1F4E78"/>
              <w:right w:val="single" w:sz="4" w:space="0" w:color="1F4E78"/>
            </w:tcBorders>
            <w:shd w:val="clear" w:color="000000" w:fill="D9E1F2"/>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 </w:t>
            </w:r>
          </w:p>
        </w:tc>
      </w:tr>
      <w:tr w:rsidR="009B3D09" w:rsidRPr="009B3D09" w:rsidTr="00A20E4E">
        <w:trPr>
          <w:trHeight w:val="846"/>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2024-2027 (2023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ივლისი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-2,5%</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-2,9%</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-2,4%</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c>
          <w:tcPr>
            <w:tcW w:w="27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-9,0%</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-6,3%</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-3,0%</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-2,4%</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c>
          <w:tcPr>
            <w:tcW w:w="288" w:type="pct"/>
            <w:gridSpan w:val="2"/>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r>
      <w:tr w:rsidR="009B3D09" w:rsidRPr="009B3D09" w:rsidTr="00A20E4E">
        <w:trPr>
          <w:trHeight w:val="255"/>
        </w:trPr>
        <w:tc>
          <w:tcPr>
            <w:tcW w:w="424" w:type="pct"/>
            <w:tcBorders>
              <w:top w:val="nil"/>
              <w:left w:val="single" w:sz="4" w:space="0" w:color="1F4E78"/>
              <w:bottom w:val="single" w:sz="4" w:space="0" w:color="1F4E78"/>
              <w:right w:val="single" w:sz="4" w:space="0" w:color="1F4E78"/>
            </w:tcBorders>
            <w:shd w:val="clear" w:color="auto" w:fill="auto"/>
            <w:vAlign w:val="center"/>
            <w:hideMark/>
          </w:tcPr>
          <w:p w:rsidR="009B3D09" w:rsidRPr="009B3D09" w:rsidRDefault="009B3D09" w:rsidP="009B3D09">
            <w:pPr>
              <w:spacing w:after="0" w:line="240" w:lineRule="auto"/>
              <w:rPr>
                <w:rFonts w:ascii="Arial" w:eastAsia="Times New Roman" w:hAnsi="Arial" w:cs="Arial"/>
                <w:sz w:val="16"/>
                <w:szCs w:val="16"/>
              </w:rPr>
            </w:pPr>
            <w:r w:rsidRPr="009B3D09">
              <w:rPr>
                <w:rFonts w:ascii="Arial" w:eastAsia="Times New Roman" w:hAnsi="Arial" w:cs="Arial"/>
                <w:sz w:val="16"/>
                <w:szCs w:val="16"/>
              </w:rPr>
              <w:t xml:space="preserve">2024-2027 (2023 </w:t>
            </w:r>
            <w:r w:rsidRPr="009B3D09">
              <w:rPr>
                <w:rFonts w:ascii="Sylfaen" w:eastAsia="Times New Roman" w:hAnsi="Sylfaen" w:cs="Sylfaen"/>
                <w:sz w:val="16"/>
                <w:szCs w:val="16"/>
              </w:rPr>
              <w:t>წლის</w:t>
            </w:r>
            <w:r w:rsidRPr="009B3D09">
              <w:rPr>
                <w:rFonts w:ascii="Arial" w:eastAsia="Times New Roman" w:hAnsi="Arial" w:cs="Arial"/>
                <w:sz w:val="16"/>
                <w:szCs w:val="16"/>
              </w:rPr>
              <w:t xml:space="preserve"> </w:t>
            </w:r>
            <w:r w:rsidRPr="009B3D09">
              <w:rPr>
                <w:rFonts w:ascii="Sylfaen" w:eastAsia="Times New Roman" w:hAnsi="Sylfaen" w:cs="Sylfaen"/>
                <w:sz w:val="16"/>
                <w:szCs w:val="16"/>
              </w:rPr>
              <w:t>სექტემბერი</w:t>
            </w:r>
            <w:r w:rsidRPr="009B3D09">
              <w:rPr>
                <w:rFonts w:ascii="Arial" w:eastAsia="Times New Roman" w:hAnsi="Arial" w:cs="Arial"/>
                <w:sz w:val="16"/>
                <w:szCs w:val="16"/>
              </w:rPr>
              <w:t>)</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-2,5%</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-3,0%</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-2,6%</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c>
          <w:tcPr>
            <w:tcW w:w="27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-2,0%</w:t>
            </w:r>
          </w:p>
        </w:tc>
        <w:tc>
          <w:tcPr>
            <w:tcW w:w="285"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-9,1%</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-6,3%</w:t>
            </w:r>
          </w:p>
        </w:tc>
        <w:tc>
          <w:tcPr>
            <w:tcW w:w="281"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330"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-3,0%</w:t>
            </w:r>
          </w:p>
        </w:tc>
        <w:tc>
          <w:tcPr>
            <w:tcW w:w="283"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-2,5%</w:t>
            </w:r>
          </w:p>
        </w:tc>
        <w:tc>
          <w:tcPr>
            <w:tcW w:w="282"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-2,3%</w:t>
            </w:r>
          </w:p>
        </w:tc>
        <w:tc>
          <w:tcPr>
            <w:tcW w:w="284" w:type="pct"/>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-2,2%</w:t>
            </w:r>
          </w:p>
        </w:tc>
        <w:tc>
          <w:tcPr>
            <w:tcW w:w="288" w:type="pct"/>
            <w:gridSpan w:val="2"/>
            <w:tcBorders>
              <w:top w:val="nil"/>
              <w:left w:val="nil"/>
              <w:bottom w:val="single" w:sz="4" w:space="0" w:color="1F4E78"/>
              <w:right w:val="single" w:sz="4" w:space="0" w:color="1F4E78"/>
            </w:tcBorders>
            <w:shd w:val="clear" w:color="auto" w:fill="auto"/>
            <w:noWrap/>
            <w:vAlign w:val="center"/>
            <w:hideMark/>
          </w:tcPr>
          <w:p w:rsidR="009B3D09" w:rsidRPr="009B3D09" w:rsidRDefault="009B3D09" w:rsidP="009B3D09">
            <w:pPr>
              <w:spacing w:after="0" w:line="240" w:lineRule="auto"/>
              <w:jc w:val="center"/>
              <w:rPr>
                <w:rFonts w:ascii="Arial" w:eastAsia="Times New Roman" w:hAnsi="Arial" w:cs="Arial"/>
                <w:sz w:val="16"/>
                <w:szCs w:val="16"/>
              </w:rPr>
            </w:pPr>
            <w:r w:rsidRPr="009B3D09">
              <w:rPr>
                <w:rFonts w:ascii="Arial" w:eastAsia="Times New Roman" w:hAnsi="Arial" w:cs="Arial"/>
                <w:sz w:val="16"/>
                <w:szCs w:val="16"/>
              </w:rPr>
              <w:t>-2,1%</w:t>
            </w:r>
          </w:p>
        </w:tc>
      </w:tr>
    </w:tbl>
    <w:p w:rsidR="008C666C" w:rsidRPr="008C666C" w:rsidRDefault="008C666C" w:rsidP="008C66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AD4464" w:rsidRDefault="00AD4464" w:rsidP="00E62DDE">
      <w:pPr>
        <w:pStyle w:val="Heading1"/>
        <w:numPr>
          <w:ilvl w:val="0"/>
          <w:numId w:val="1"/>
        </w:numPr>
        <w:spacing w:line="276" w:lineRule="auto"/>
        <w:rPr>
          <w:rFonts w:ascii="Sylfaen" w:hAnsi="Sylfaen" w:cs="Sylfaen"/>
          <w:b/>
          <w:sz w:val="28"/>
          <w:lang w:val="ka-GE"/>
        </w:rPr>
        <w:sectPr w:rsidR="00AD4464" w:rsidSect="00AD4464">
          <w:pgSz w:w="15840" w:h="12240" w:orient="landscape"/>
          <w:pgMar w:top="851" w:right="709" w:bottom="902" w:left="1134" w:header="720" w:footer="720" w:gutter="0"/>
          <w:pgNumType w:start="1"/>
          <w:cols w:space="720"/>
          <w:titlePg/>
          <w:docGrid w:linePitch="360"/>
        </w:sectPr>
      </w:pPr>
      <w:bookmarkStart w:id="4" w:name="_Toc89118363"/>
    </w:p>
    <w:p w:rsidR="009B3D09" w:rsidRDefault="009B3D09">
      <w:pPr>
        <w:rPr>
          <w:rFonts w:ascii="Sylfaen" w:eastAsiaTheme="majorEastAsia" w:hAnsi="Sylfaen" w:cs="Sylfaen"/>
          <w:b/>
          <w:color w:val="2E74B5" w:themeColor="accent1" w:themeShade="BF"/>
          <w:sz w:val="28"/>
          <w:szCs w:val="32"/>
          <w:lang w:val="ka-GE"/>
        </w:rPr>
      </w:pPr>
    </w:p>
    <w:tbl>
      <w:tblPr>
        <w:tblW w:w="5000" w:type="pct"/>
        <w:tblLook w:val="04A0" w:firstRow="1" w:lastRow="0" w:firstColumn="1" w:lastColumn="0" w:noHBand="0" w:noVBand="1"/>
      </w:tblPr>
      <w:tblGrid>
        <w:gridCol w:w="3877"/>
        <w:gridCol w:w="825"/>
        <w:gridCol w:w="825"/>
        <w:gridCol w:w="825"/>
        <w:gridCol w:w="825"/>
        <w:gridCol w:w="825"/>
        <w:gridCol w:w="825"/>
        <w:gridCol w:w="825"/>
        <w:gridCol w:w="825"/>
      </w:tblGrid>
      <w:tr w:rsidR="009B3D09" w:rsidRPr="009B3D09" w:rsidTr="009B3D09">
        <w:trPr>
          <w:trHeight w:val="360"/>
        </w:trPr>
        <w:tc>
          <w:tcPr>
            <w:tcW w:w="5000" w:type="pct"/>
            <w:gridSpan w:val="9"/>
            <w:tcBorders>
              <w:top w:val="single" w:sz="4" w:space="0" w:color="1F4E78"/>
              <w:left w:val="single" w:sz="4" w:space="0" w:color="1F4E78"/>
              <w:bottom w:val="single" w:sz="4" w:space="0" w:color="1F4E78"/>
              <w:right w:val="single" w:sz="4" w:space="0" w:color="1F4E78"/>
            </w:tcBorders>
            <w:shd w:val="clear" w:color="000000" w:fill="D9E1F2"/>
            <w:noWrap/>
            <w:vAlign w:val="center"/>
            <w:hideMark/>
          </w:tcPr>
          <w:p w:rsidR="009B3D09" w:rsidRPr="00A20E4E" w:rsidRDefault="009B3D09" w:rsidP="00A20E4E">
            <w:pPr>
              <w:spacing w:after="0" w:line="240" w:lineRule="auto"/>
              <w:jc w:val="center"/>
              <w:rPr>
                <w:rFonts w:ascii="Sylfaen" w:eastAsia="Times New Roman" w:hAnsi="Sylfaen" w:cs="Arial"/>
                <w:b/>
                <w:bCs/>
                <w:sz w:val="20"/>
                <w:szCs w:val="20"/>
                <w:lang w:val="ka-GE"/>
              </w:rPr>
            </w:pPr>
            <w:r w:rsidRPr="009B3D09">
              <w:rPr>
                <w:rFonts w:ascii="Sylfaen" w:eastAsia="Times New Roman" w:hAnsi="Sylfaen" w:cs="Arial"/>
                <w:b/>
                <w:bCs/>
                <w:sz w:val="20"/>
                <w:szCs w:val="20"/>
              </w:rPr>
              <w:t>მოდიფიცირებული</w:t>
            </w:r>
            <w:r w:rsidRPr="009B3D09">
              <w:rPr>
                <w:rFonts w:ascii="Arial" w:eastAsia="Times New Roman" w:hAnsi="Arial" w:cs="Arial"/>
                <w:b/>
                <w:bCs/>
                <w:sz w:val="20"/>
                <w:szCs w:val="20"/>
              </w:rPr>
              <w:t xml:space="preserve"> </w:t>
            </w:r>
            <w:r w:rsidRPr="009B3D09">
              <w:rPr>
                <w:rFonts w:ascii="Sylfaen" w:eastAsia="Times New Roman" w:hAnsi="Sylfaen" w:cs="Arial"/>
                <w:b/>
                <w:bCs/>
                <w:sz w:val="20"/>
                <w:szCs w:val="20"/>
              </w:rPr>
              <w:t>დეფიციტი</w:t>
            </w:r>
            <w:r w:rsidRPr="009B3D09">
              <w:rPr>
                <w:rFonts w:ascii="Arial" w:eastAsia="Times New Roman" w:hAnsi="Arial" w:cs="Arial"/>
                <w:b/>
                <w:bCs/>
                <w:sz w:val="20"/>
                <w:szCs w:val="20"/>
              </w:rPr>
              <w:t xml:space="preserve"> (IMF </w:t>
            </w:r>
            <w:r w:rsidRPr="009B3D09">
              <w:rPr>
                <w:rFonts w:ascii="Sylfaen" w:eastAsia="Times New Roman" w:hAnsi="Sylfaen" w:cs="Arial"/>
                <w:b/>
                <w:bCs/>
                <w:sz w:val="20"/>
                <w:szCs w:val="20"/>
              </w:rPr>
              <w:t xml:space="preserve">პროგრამა) </w:t>
            </w:r>
            <w:r w:rsidR="00A20E4E">
              <w:rPr>
                <w:rFonts w:ascii="Sylfaen" w:eastAsia="Times New Roman" w:hAnsi="Sylfaen" w:cs="Arial"/>
                <w:b/>
                <w:bCs/>
                <w:sz w:val="20"/>
                <w:szCs w:val="20"/>
                <w:lang w:val="ka-GE"/>
              </w:rPr>
              <w:t>მლნ ლარი</w:t>
            </w:r>
          </w:p>
        </w:tc>
      </w:tr>
      <w:tr w:rsidR="009B3D09" w:rsidRPr="009B3D09" w:rsidTr="009B3D09">
        <w:trPr>
          <w:trHeight w:val="40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2021-2024 (2020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დეკემბერი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-4 470,0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-4 082,0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-2 534,0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-1 948,0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-1 781,0</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r>
      <w:tr w:rsidR="009B3D09" w:rsidRPr="009B3D09" w:rsidTr="009B3D09">
        <w:trPr>
          <w:trHeight w:val="25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2022-2025 (2021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დეკემბერი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-4 595,9</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-3 913,0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-2 852,0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-2 079,0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-2 049,0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-2 049,0</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r>
      <w:tr w:rsidR="009B3D09" w:rsidRPr="009B3D09" w:rsidTr="009B3D09">
        <w:trPr>
          <w:trHeight w:val="300"/>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2023-2026 (2022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დეკემბერი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-4 595,9</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-3 662,2</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-2 251,0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-2 261,0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-2 018,0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-2 168,0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-2 213,0</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r>
      <w:tr w:rsidR="009B3D09" w:rsidRPr="009B3D09" w:rsidTr="009B3D09">
        <w:trPr>
          <w:trHeight w:val="31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2024-2027 (2023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ივლისი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-4 595,9</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-3 662,2</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-2 203,0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-2 168,0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-2 145,0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-2 110,0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-2 184,0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-2 301,0</w:t>
            </w:r>
          </w:p>
        </w:tc>
      </w:tr>
      <w:tr w:rsidR="009B3D09" w:rsidRPr="009B3D09" w:rsidTr="009B3D09">
        <w:trPr>
          <w:trHeight w:val="330"/>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2024-2027 (2023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სექტემბერი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-4 595,9</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-3 662,2</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-2 203,0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-2 200,0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-2 172,0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-2 125,0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-2 201,0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-2 240,0</w:t>
            </w:r>
          </w:p>
        </w:tc>
      </w:tr>
      <w:tr w:rsidR="009B3D09" w:rsidRPr="009B3D09" w:rsidTr="009B3D09">
        <w:trPr>
          <w:trHeight w:val="375"/>
        </w:trPr>
        <w:tc>
          <w:tcPr>
            <w:tcW w:w="5000" w:type="pct"/>
            <w:gridSpan w:val="9"/>
            <w:tcBorders>
              <w:top w:val="single" w:sz="4" w:space="0" w:color="1F4E78"/>
              <w:left w:val="single" w:sz="4" w:space="0" w:color="1F4E78"/>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b/>
                <w:bCs/>
                <w:sz w:val="20"/>
                <w:szCs w:val="20"/>
              </w:rPr>
            </w:pPr>
            <w:r w:rsidRPr="00A20E4E">
              <w:rPr>
                <w:rFonts w:ascii="Sylfaen" w:eastAsia="Times New Roman" w:hAnsi="Sylfaen" w:cs="Arial"/>
                <w:b/>
                <w:bCs/>
                <w:sz w:val="20"/>
                <w:szCs w:val="20"/>
              </w:rPr>
              <w:t>% მშპ-სთან</w:t>
            </w:r>
          </w:p>
        </w:tc>
      </w:tr>
      <w:tr w:rsidR="009B3D09" w:rsidRPr="009B3D09" w:rsidTr="009B3D09">
        <w:trPr>
          <w:trHeight w:val="37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2021-2024 (2020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დეკემბერი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-9,1%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-7,6%</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-4,4%</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-2,6%</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r>
      <w:tr w:rsidR="009B3D09" w:rsidRPr="009B3D09" w:rsidTr="009B3D09">
        <w:trPr>
          <w:trHeight w:val="25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2022-2025 (2021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დეკემბერი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-9,3%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-6,7%</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-4,4%</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-3,0%</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-2,7%</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-2,5%</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c>
          <w:tcPr>
            <w:tcW w:w="185" w:type="pct"/>
            <w:tcBorders>
              <w:top w:val="nil"/>
              <w:left w:val="nil"/>
              <w:bottom w:val="single" w:sz="4" w:space="0" w:color="1F4E78"/>
              <w:right w:val="single" w:sz="4" w:space="0" w:color="1F4E78"/>
            </w:tcBorders>
            <w:shd w:val="clear" w:color="000000" w:fill="D9E1F2"/>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 </w:t>
            </w:r>
          </w:p>
        </w:tc>
      </w:tr>
      <w:tr w:rsidR="009B3D09" w:rsidRPr="009B3D09" w:rsidTr="009B3D09">
        <w:trPr>
          <w:trHeight w:val="31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2023-2026 (2022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დეკემბერი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-9,3%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-6,1%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-2,8%</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-2,2%</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-2,1%</w:t>
            </w:r>
          </w:p>
        </w:tc>
      </w:tr>
      <w:tr w:rsidR="009B3D09" w:rsidRPr="009B3D09" w:rsidTr="009B3D09">
        <w:trPr>
          <w:trHeight w:val="330"/>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2024-2027 (2023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ივლისი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-9,3%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-6,1%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-2,8%</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-2,5%</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-2,2%</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-2,1%</w:t>
            </w:r>
          </w:p>
        </w:tc>
      </w:tr>
      <w:tr w:rsidR="009B3D09" w:rsidRPr="009B3D09" w:rsidTr="009B3D09">
        <w:trPr>
          <w:trHeight w:val="255"/>
        </w:trPr>
        <w:tc>
          <w:tcPr>
            <w:tcW w:w="3523" w:type="pct"/>
            <w:tcBorders>
              <w:top w:val="nil"/>
              <w:left w:val="single" w:sz="4" w:space="0" w:color="1F4E78"/>
              <w:bottom w:val="single" w:sz="4" w:space="0" w:color="1F4E78"/>
              <w:right w:val="single" w:sz="4" w:space="0" w:color="1F4E78"/>
            </w:tcBorders>
            <w:shd w:val="clear" w:color="auto" w:fill="auto"/>
            <w:vAlign w:val="center"/>
            <w:hideMark/>
          </w:tcPr>
          <w:p w:rsidR="009B3D09" w:rsidRPr="00A20E4E" w:rsidRDefault="009B3D09" w:rsidP="009B3D09">
            <w:pPr>
              <w:spacing w:after="0" w:line="240" w:lineRule="auto"/>
              <w:rPr>
                <w:rFonts w:ascii="Sylfaen" w:eastAsia="Times New Roman" w:hAnsi="Sylfaen" w:cs="Arial"/>
                <w:sz w:val="18"/>
                <w:szCs w:val="18"/>
              </w:rPr>
            </w:pPr>
            <w:r w:rsidRPr="00A20E4E">
              <w:rPr>
                <w:rFonts w:ascii="Sylfaen" w:eastAsia="Times New Roman" w:hAnsi="Sylfaen" w:cs="Arial"/>
                <w:sz w:val="18"/>
                <w:szCs w:val="18"/>
              </w:rPr>
              <w:t xml:space="preserve">2024-2027 (2023 </w:t>
            </w:r>
            <w:r w:rsidRPr="00A20E4E">
              <w:rPr>
                <w:rFonts w:ascii="Sylfaen" w:eastAsia="Times New Roman" w:hAnsi="Sylfaen" w:cs="Sylfaen"/>
                <w:sz w:val="18"/>
                <w:szCs w:val="18"/>
              </w:rPr>
              <w:t>წლის</w:t>
            </w:r>
            <w:r w:rsidRPr="00A20E4E">
              <w:rPr>
                <w:rFonts w:ascii="Sylfaen" w:eastAsia="Times New Roman" w:hAnsi="Sylfaen" w:cs="Arial"/>
                <w:sz w:val="18"/>
                <w:szCs w:val="18"/>
              </w:rPr>
              <w:t xml:space="preserve"> </w:t>
            </w:r>
            <w:r w:rsidRPr="00A20E4E">
              <w:rPr>
                <w:rFonts w:ascii="Sylfaen" w:eastAsia="Times New Roman" w:hAnsi="Sylfaen" w:cs="Sylfaen"/>
                <w:sz w:val="18"/>
                <w:szCs w:val="18"/>
              </w:rPr>
              <w:t>სექტემბერი</w:t>
            </w:r>
            <w:r w:rsidRPr="00A20E4E">
              <w:rPr>
                <w:rFonts w:ascii="Sylfaen" w:eastAsia="Times New Roman" w:hAnsi="Sylfaen" w:cs="Arial"/>
                <w:sz w:val="18"/>
                <w:szCs w:val="18"/>
              </w:rPr>
              <w:t>)</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-9,3%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-6,1%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-3,1%</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-2,8%</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-2,5%</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-2,3%</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-2,2%</w:t>
            </w:r>
          </w:p>
        </w:tc>
        <w:tc>
          <w:tcPr>
            <w:tcW w:w="185" w:type="pct"/>
            <w:tcBorders>
              <w:top w:val="nil"/>
              <w:left w:val="nil"/>
              <w:bottom w:val="single" w:sz="4" w:space="0" w:color="1F4E78"/>
              <w:right w:val="single" w:sz="4" w:space="0" w:color="1F4E78"/>
            </w:tcBorders>
            <w:shd w:val="clear" w:color="auto" w:fill="auto"/>
            <w:noWrap/>
            <w:vAlign w:val="center"/>
            <w:hideMark/>
          </w:tcPr>
          <w:p w:rsidR="009B3D09" w:rsidRPr="00A20E4E" w:rsidRDefault="009B3D09" w:rsidP="009B3D09">
            <w:pPr>
              <w:spacing w:after="0" w:line="240" w:lineRule="auto"/>
              <w:jc w:val="center"/>
              <w:rPr>
                <w:rFonts w:ascii="Sylfaen" w:eastAsia="Times New Roman" w:hAnsi="Sylfaen" w:cs="Arial"/>
                <w:sz w:val="18"/>
                <w:szCs w:val="18"/>
              </w:rPr>
            </w:pPr>
            <w:r w:rsidRPr="00A20E4E">
              <w:rPr>
                <w:rFonts w:ascii="Sylfaen" w:eastAsia="Times New Roman" w:hAnsi="Sylfaen" w:cs="Arial"/>
                <w:sz w:val="18"/>
                <w:szCs w:val="18"/>
              </w:rPr>
              <w:t>-2,1%</w:t>
            </w:r>
          </w:p>
        </w:tc>
      </w:tr>
    </w:tbl>
    <w:p w:rsidR="00007997" w:rsidRDefault="00007997">
      <w:pPr>
        <w:rPr>
          <w:rFonts w:ascii="Sylfaen" w:eastAsiaTheme="majorEastAsia" w:hAnsi="Sylfaen" w:cs="Sylfaen"/>
          <w:b/>
          <w:color w:val="2E74B5" w:themeColor="accent1" w:themeShade="BF"/>
          <w:sz w:val="28"/>
          <w:szCs w:val="32"/>
          <w:lang w:val="ka-GE"/>
        </w:rPr>
      </w:pPr>
    </w:p>
    <w:p w:rsidR="00007997" w:rsidRDefault="00007997">
      <w:pPr>
        <w:rPr>
          <w:rFonts w:ascii="Sylfaen" w:eastAsiaTheme="majorEastAsia" w:hAnsi="Sylfaen" w:cs="Sylfaen"/>
          <w:b/>
          <w:color w:val="2E74B5" w:themeColor="accent1" w:themeShade="BF"/>
          <w:sz w:val="28"/>
          <w:szCs w:val="32"/>
          <w:lang w:val="ka-GE"/>
        </w:rPr>
      </w:pPr>
      <w:r>
        <w:rPr>
          <w:rFonts w:ascii="Sylfaen" w:eastAsiaTheme="majorEastAsia" w:hAnsi="Sylfaen" w:cs="Sylfaen"/>
          <w:b/>
          <w:color w:val="2E74B5" w:themeColor="accent1" w:themeShade="BF"/>
          <w:sz w:val="28"/>
          <w:szCs w:val="32"/>
          <w:lang w:val="ka-GE"/>
        </w:rPr>
        <w:br w:type="page"/>
      </w:r>
    </w:p>
    <w:p w:rsidR="00E62DDE" w:rsidRPr="00007997" w:rsidRDefault="00E62DDE" w:rsidP="00E62DDE">
      <w:pPr>
        <w:pStyle w:val="Heading1"/>
        <w:numPr>
          <w:ilvl w:val="0"/>
          <w:numId w:val="1"/>
        </w:numPr>
        <w:spacing w:line="276" w:lineRule="auto"/>
        <w:rPr>
          <w:rFonts w:ascii="Sylfaen" w:hAnsi="Sylfaen"/>
          <w:b/>
          <w:sz w:val="28"/>
          <w:lang w:val="ka-GE"/>
        </w:rPr>
      </w:pPr>
      <w:r w:rsidRPr="00007997">
        <w:rPr>
          <w:rFonts w:ascii="Sylfaen" w:hAnsi="Sylfaen" w:cs="Sylfaen"/>
          <w:b/>
          <w:sz w:val="28"/>
          <w:lang w:val="ka-GE"/>
        </w:rPr>
        <w:t>მთავრობის</w:t>
      </w:r>
      <w:r w:rsidRPr="00007997">
        <w:rPr>
          <w:rFonts w:ascii="Sylfaen" w:hAnsi="Sylfaen"/>
          <w:b/>
          <w:sz w:val="28"/>
          <w:lang w:val="ka-GE"/>
        </w:rPr>
        <w:t xml:space="preserve"> ვალი</w:t>
      </w:r>
      <w:bookmarkEnd w:id="4"/>
    </w:p>
    <w:p w:rsidR="004146A8" w:rsidRPr="00A20E4E" w:rsidRDefault="004146A8" w:rsidP="004146A8">
      <w:pPr>
        <w:pStyle w:val="NoSpacing"/>
        <w:spacing w:line="276" w:lineRule="auto"/>
        <w:ind w:firstLine="720"/>
        <w:jc w:val="both"/>
        <w:rPr>
          <w:rFonts w:ascii="Sylfaen" w:hAnsi="Sylfaen"/>
          <w:highlight w:val="yellow"/>
          <w:lang w:val="ka-GE"/>
        </w:rPr>
      </w:pPr>
    </w:p>
    <w:tbl>
      <w:tblPr>
        <w:tblW w:w="5000" w:type="pct"/>
        <w:jc w:val="center"/>
        <w:tblLook w:val="04A0" w:firstRow="1" w:lastRow="0" w:firstColumn="1" w:lastColumn="0" w:noHBand="0" w:noVBand="1"/>
      </w:tblPr>
      <w:tblGrid>
        <w:gridCol w:w="2718"/>
        <w:gridCol w:w="1108"/>
        <w:gridCol w:w="1108"/>
        <w:gridCol w:w="1107"/>
        <w:gridCol w:w="1107"/>
        <w:gridCol w:w="1107"/>
        <w:gridCol w:w="1107"/>
        <w:gridCol w:w="1105"/>
      </w:tblGrid>
      <w:tr w:rsidR="00007997" w:rsidRPr="0058701B" w:rsidTr="00D02123">
        <w:trPr>
          <w:trHeight w:val="577"/>
          <w:jc w:val="center"/>
        </w:trPr>
        <w:tc>
          <w:tcPr>
            <w:tcW w:w="1298"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007997" w:rsidRPr="0058701B" w:rsidRDefault="00007997" w:rsidP="00D02123">
            <w:pPr>
              <w:spacing w:after="0" w:line="240" w:lineRule="auto"/>
              <w:jc w:val="center"/>
              <w:rPr>
                <w:rFonts w:ascii="Sylfaen" w:eastAsia="Times New Roman" w:hAnsi="Sylfaen" w:cs="Arial"/>
                <w:b/>
                <w:bCs/>
                <w:color w:val="000000"/>
                <w:sz w:val="18"/>
                <w:szCs w:val="18"/>
              </w:rPr>
            </w:pPr>
            <w:r w:rsidRPr="0058701B">
              <w:rPr>
                <w:rFonts w:ascii="Sylfaen" w:eastAsia="Times New Roman" w:hAnsi="Sylfaen" w:cs="Arial"/>
                <w:b/>
                <w:bCs/>
                <w:color w:val="000000"/>
                <w:sz w:val="18"/>
                <w:szCs w:val="18"/>
              </w:rPr>
              <w:t>მთავრობის ვალი (მლნ ლარი)</w:t>
            </w:r>
          </w:p>
        </w:tc>
        <w:tc>
          <w:tcPr>
            <w:tcW w:w="529" w:type="pct"/>
            <w:tcBorders>
              <w:top w:val="single" w:sz="8" w:space="0" w:color="A5A5A5"/>
              <w:left w:val="nil"/>
              <w:bottom w:val="single" w:sz="8" w:space="0" w:color="A5A5A5"/>
              <w:right w:val="single" w:sz="8" w:space="0" w:color="A5A5A5"/>
            </w:tcBorders>
            <w:shd w:val="clear" w:color="000000" w:fill="FFFFFF"/>
            <w:vAlign w:val="center"/>
            <w:hideMark/>
          </w:tcPr>
          <w:p w:rsidR="00007997" w:rsidRPr="0058701B" w:rsidRDefault="00007997" w:rsidP="00D02123">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2021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000000" w:fill="FFFFFF"/>
            <w:vAlign w:val="center"/>
            <w:hideMark/>
          </w:tcPr>
          <w:p w:rsidR="00007997" w:rsidRPr="0058701B" w:rsidRDefault="00007997" w:rsidP="00D02123">
            <w:pPr>
              <w:spacing w:after="0" w:line="240" w:lineRule="auto"/>
              <w:jc w:val="center"/>
              <w:rPr>
                <w:rFonts w:ascii="Arial" w:eastAsia="Times New Roman" w:hAnsi="Arial" w:cs="Arial"/>
                <w:b/>
                <w:bCs/>
                <w:color w:val="000000"/>
                <w:sz w:val="18"/>
                <w:szCs w:val="18"/>
                <w:lang w:val="ka-GE"/>
              </w:rPr>
            </w:pPr>
            <w:r w:rsidRPr="0058701B">
              <w:rPr>
                <w:rFonts w:ascii="Arial" w:eastAsia="Times New Roman" w:hAnsi="Arial" w:cs="Arial"/>
                <w:b/>
                <w:bCs/>
                <w:color w:val="000000"/>
                <w:sz w:val="18"/>
                <w:szCs w:val="18"/>
              </w:rPr>
              <w:t xml:space="preserve">2022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000000" w:fill="FFFFFF"/>
            <w:vAlign w:val="center"/>
            <w:hideMark/>
          </w:tcPr>
          <w:p w:rsidR="00007997" w:rsidRPr="0058701B" w:rsidRDefault="00007997" w:rsidP="00D02123">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2023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000000" w:fill="FFFFFF"/>
            <w:vAlign w:val="center"/>
            <w:hideMark/>
          </w:tcPr>
          <w:p w:rsidR="00007997" w:rsidRPr="0058701B" w:rsidRDefault="00007997" w:rsidP="00D02123">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2024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000000" w:fill="FFFFFF"/>
            <w:vAlign w:val="center"/>
            <w:hideMark/>
          </w:tcPr>
          <w:p w:rsidR="00007997" w:rsidRPr="0058701B" w:rsidRDefault="00007997" w:rsidP="00D02123">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2025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000000" w:fill="FFFFFF"/>
          </w:tcPr>
          <w:p w:rsidR="00007997" w:rsidRPr="0058701B" w:rsidRDefault="00007997" w:rsidP="00D02123">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2026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000000" w:fill="FFFFFF"/>
          </w:tcPr>
          <w:p w:rsidR="00007997" w:rsidRPr="0058701B" w:rsidRDefault="00007997" w:rsidP="00D02123">
            <w:pPr>
              <w:spacing w:after="0" w:line="240" w:lineRule="auto"/>
              <w:jc w:val="center"/>
              <w:rPr>
                <w:rFonts w:ascii="Sylfaen" w:eastAsia="Times New Roman" w:hAnsi="Sylfaen" w:cs="Arial"/>
                <w:b/>
                <w:bCs/>
                <w:color w:val="000000"/>
                <w:sz w:val="18"/>
                <w:szCs w:val="18"/>
                <w:lang w:val="ka-GE"/>
              </w:rPr>
            </w:pPr>
            <w:r w:rsidRPr="0058701B">
              <w:rPr>
                <w:rFonts w:ascii="Sylfaen" w:eastAsia="Times New Roman" w:hAnsi="Sylfaen" w:cs="Arial"/>
                <w:b/>
                <w:bCs/>
                <w:color w:val="000000"/>
                <w:sz w:val="18"/>
                <w:szCs w:val="18"/>
                <w:lang w:val="ka-GE"/>
              </w:rPr>
              <w:t>2027 წელი</w:t>
            </w:r>
          </w:p>
        </w:tc>
      </w:tr>
      <w:tr w:rsidR="00007997" w:rsidRPr="0058701B" w:rsidTr="00D02123">
        <w:trPr>
          <w:trHeight w:val="303"/>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 xml:space="preserve">2022-2025 წლები (2021 წლის </w:t>
            </w:r>
            <w:r w:rsidRPr="0058701B">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eastAsia="Times New Roman" w:cs="Arial"/>
                <w:sz w:val="18"/>
                <w:szCs w:val="18"/>
                <w:lang w:val="ka-GE"/>
              </w:rPr>
            </w:pPr>
            <w:r w:rsidRPr="0058701B">
              <w:rPr>
                <w:rFonts w:ascii="Arial" w:eastAsia="Times New Roman" w:hAnsi="Arial" w:cs="Arial"/>
                <w:sz w:val="18"/>
                <w:szCs w:val="20"/>
              </w:rPr>
              <w:t>29,905</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sz w:val="18"/>
                <w:szCs w:val="18"/>
              </w:rPr>
            </w:pPr>
            <w:r w:rsidRPr="0058701B">
              <w:rPr>
                <w:rFonts w:ascii="Arial" w:eastAsia="Times New Roman" w:hAnsi="Arial" w:cs="Arial"/>
                <w:sz w:val="18"/>
                <w:szCs w:val="20"/>
              </w:rPr>
              <w:t>33,123</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sz w:val="18"/>
                <w:szCs w:val="18"/>
              </w:rPr>
            </w:pPr>
            <w:r w:rsidRPr="0058701B">
              <w:rPr>
                <w:rFonts w:ascii="Arial" w:eastAsia="Times New Roman" w:hAnsi="Arial" w:cs="Arial"/>
                <w:sz w:val="18"/>
                <w:szCs w:val="20"/>
              </w:rPr>
              <w:t>35,348</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sz w:val="18"/>
                <w:szCs w:val="18"/>
              </w:rPr>
            </w:pPr>
            <w:r w:rsidRPr="0058701B">
              <w:rPr>
                <w:rFonts w:ascii="Arial" w:eastAsia="Times New Roman" w:hAnsi="Arial" w:cs="Arial"/>
                <w:sz w:val="18"/>
                <w:szCs w:val="20"/>
              </w:rPr>
              <w:t>37,413</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sz w:val="18"/>
                <w:szCs w:val="18"/>
              </w:rPr>
            </w:pPr>
            <w:r w:rsidRPr="0058701B">
              <w:rPr>
                <w:rFonts w:ascii="Arial" w:eastAsia="Times New Roman" w:hAnsi="Arial" w:cs="Arial"/>
                <w:sz w:val="18"/>
                <w:szCs w:val="20"/>
              </w:rPr>
              <w:t>39,417</w:t>
            </w: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jc w:val="center"/>
              <w:rPr>
                <w:rFonts w:ascii="Arial" w:eastAsia="Times New Roman" w:hAnsi="Arial" w:cs="Arial"/>
                <w:sz w:val="18"/>
                <w:szCs w:val="20"/>
              </w:rPr>
            </w:pP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jc w:val="center"/>
              <w:rPr>
                <w:rFonts w:ascii="Arial" w:eastAsia="Times New Roman" w:hAnsi="Arial" w:cs="Arial"/>
                <w:sz w:val="18"/>
                <w:szCs w:val="20"/>
              </w:rPr>
            </w:pPr>
          </w:p>
        </w:tc>
      </w:tr>
      <w:tr w:rsidR="00007997" w:rsidRPr="0058701B" w:rsidTr="00D02123">
        <w:trPr>
          <w:trHeight w:val="303"/>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i/>
                <w:color w:val="000000"/>
                <w:sz w:val="18"/>
                <w:szCs w:val="18"/>
              </w:rPr>
            </w:pPr>
            <w:r w:rsidRPr="0058701B">
              <w:rPr>
                <w:rFonts w:ascii="Arial" w:eastAsia="Times New Roman" w:hAnsi="Arial" w:cs="Arial"/>
                <w:i/>
                <w:color w:val="000000"/>
                <w:sz w:val="18"/>
                <w:szCs w:val="18"/>
                <w:lang w:val="ka-GE"/>
              </w:rPr>
              <w:t>5</w:t>
            </w:r>
            <w:r w:rsidRPr="0058701B">
              <w:rPr>
                <w:rFonts w:ascii="Arial" w:eastAsia="Times New Roman" w:hAnsi="Arial" w:cs="Arial"/>
                <w:i/>
                <w:color w:val="000000"/>
                <w:sz w:val="18"/>
                <w:szCs w:val="18"/>
              </w:rPr>
              <w:t>1</w:t>
            </w:r>
            <w:r w:rsidRPr="0058701B">
              <w:rPr>
                <w:rFonts w:ascii="Arial" w:eastAsia="Times New Roman" w:hAnsi="Arial" w:cs="Arial"/>
                <w:i/>
                <w:color w:val="000000"/>
                <w:sz w:val="18"/>
                <w:szCs w:val="18"/>
                <w:lang w:val="ka-GE"/>
              </w:rPr>
              <w:t>.</w:t>
            </w:r>
            <w:r w:rsidRPr="0058701B">
              <w:rPr>
                <w:rFonts w:ascii="Arial" w:eastAsia="Times New Roman" w:hAnsi="Arial" w:cs="Arial"/>
                <w:i/>
                <w:color w:val="000000"/>
                <w:sz w:val="18"/>
                <w:szCs w:val="18"/>
              </w:rPr>
              <w:t>1</w:t>
            </w:r>
            <w:r w:rsidRPr="0058701B">
              <w:rPr>
                <w:rFonts w:ascii="Arial" w:eastAsia="Times New Roman" w:hAnsi="Arial"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i/>
                <w:color w:val="000000"/>
                <w:sz w:val="18"/>
                <w:szCs w:val="18"/>
              </w:rPr>
            </w:pPr>
            <w:r w:rsidRPr="0058701B">
              <w:rPr>
                <w:rFonts w:ascii="Arial" w:eastAsia="Times New Roman" w:hAnsi="Arial" w:cs="Arial"/>
                <w:i/>
                <w:color w:val="000000"/>
                <w:sz w:val="18"/>
                <w:szCs w:val="18"/>
                <w:lang w:val="ka-GE"/>
              </w:rPr>
              <w:t>5</w:t>
            </w:r>
            <w:r w:rsidRPr="0058701B">
              <w:rPr>
                <w:rFonts w:ascii="Arial" w:eastAsia="Times New Roman" w:hAnsi="Arial" w:cs="Arial"/>
                <w:i/>
                <w:color w:val="000000"/>
                <w:sz w:val="18"/>
                <w:szCs w:val="18"/>
              </w:rPr>
              <w:t>1</w:t>
            </w:r>
            <w:r w:rsidRPr="0058701B">
              <w:rPr>
                <w:rFonts w:ascii="Arial" w:eastAsia="Times New Roman" w:hAnsi="Arial" w:cs="Arial"/>
                <w:i/>
                <w:color w:val="000000"/>
                <w:sz w:val="18"/>
                <w:szCs w:val="18"/>
                <w:lang w:val="ka-GE"/>
              </w:rPr>
              <w:t>.</w:t>
            </w:r>
            <w:r w:rsidRPr="0058701B">
              <w:rPr>
                <w:rFonts w:ascii="Arial" w:eastAsia="Times New Roman" w:hAnsi="Arial" w:cs="Arial"/>
                <w:i/>
                <w:color w:val="000000"/>
                <w:sz w:val="18"/>
                <w:szCs w:val="18"/>
              </w:rPr>
              <w:t>1</w:t>
            </w:r>
            <w:r w:rsidRPr="0058701B">
              <w:rPr>
                <w:rFonts w:ascii="Arial" w:eastAsia="Times New Roman" w:hAnsi="Arial"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i/>
                <w:color w:val="000000"/>
                <w:sz w:val="18"/>
                <w:szCs w:val="18"/>
              </w:rPr>
            </w:pPr>
            <w:r w:rsidRPr="0058701B">
              <w:rPr>
                <w:rFonts w:ascii="Arial" w:eastAsia="Times New Roman" w:hAnsi="Arial" w:cs="Arial"/>
                <w:i/>
                <w:color w:val="000000"/>
                <w:sz w:val="18"/>
                <w:szCs w:val="18"/>
                <w:lang w:val="ka-GE"/>
              </w:rPr>
              <w:t>5</w:t>
            </w:r>
            <w:r w:rsidRPr="0058701B">
              <w:rPr>
                <w:rFonts w:ascii="Arial" w:eastAsia="Times New Roman" w:hAnsi="Arial" w:cs="Arial"/>
                <w:i/>
                <w:color w:val="000000"/>
                <w:sz w:val="18"/>
                <w:szCs w:val="18"/>
              </w:rPr>
              <w:t>0</w:t>
            </w:r>
            <w:r w:rsidRPr="0058701B">
              <w:rPr>
                <w:rFonts w:ascii="Arial" w:eastAsia="Times New Roman" w:hAnsi="Arial" w:cs="Arial"/>
                <w:i/>
                <w:color w:val="000000"/>
                <w:sz w:val="18"/>
                <w:szCs w:val="18"/>
                <w:lang w:val="ka-GE"/>
              </w:rPr>
              <w:t>.2%</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i/>
                <w:color w:val="000000"/>
                <w:sz w:val="18"/>
                <w:szCs w:val="18"/>
              </w:rPr>
            </w:pPr>
            <w:r w:rsidRPr="0058701B">
              <w:rPr>
                <w:rFonts w:ascii="Arial" w:eastAsia="Times New Roman" w:hAnsi="Arial" w:cs="Arial"/>
                <w:i/>
                <w:color w:val="000000"/>
                <w:sz w:val="18"/>
                <w:szCs w:val="18"/>
              </w:rPr>
              <w:t>49</w:t>
            </w:r>
            <w:r w:rsidRPr="0058701B">
              <w:rPr>
                <w:rFonts w:ascii="Arial" w:eastAsia="Times New Roman" w:hAnsi="Arial" w:cs="Arial"/>
                <w:i/>
                <w:color w:val="000000"/>
                <w:sz w:val="18"/>
                <w:szCs w:val="18"/>
                <w:lang w:val="ka-GE"/>
              </w:rPr>
              <w:t>.</w:t>
            </w:r>
            <w:r w:rsidRPr="0058701B">
              <w:rPr>
                <w:rFonts w:ascii="Arial" w:eastAsia="Times New Roman" w:hAnsi="Arial" w:cs="Arial"/>
                <w:i/>
                <w:color w:val="000000"/>
                <w:sz w:val="18"/>
                <w:szCs w:val="18"/>
              </w:rPr>
              <w:t>0</w:t>
            </w:r>
            <w:r w:rsidRPr="0058701B">
              <w:rPr>
                <w:rFonts w:ascii="Arial" w:eastAsia="Times New Roman" w:hAnsi="Arial"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center"/>
              <w:rPr>
                <w:rFonts w:ascii="Arial" w:eastAsia="Times New Roman" w:hAnsi="Arial" w:cs="Arial"/>
                <w:i/>
                <w:color w:val="000000"/>
                <w:sz w:val="18"/>
                <w:szCs w:val="18"/>
              </w:rPr>
            </w:pPr>
            <w:r w:rsidRPr="0058701B">
              <w:rPr>
                <w:rFonts w:ascii="Arial" w:eastAsia="Times New Roman" w:hAnsi="Arial" w:cs="Arial"/>
                <w:i/>
                <w:color w:val="000000"/>
                <w:sz w:val="18"/>
                <w:szCs w:val="18"/>
                <w:lang w:val="ka-GE"/>
              </w:rPr>
              <w:t>47.7%</w:t>
            </w: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p>
        </w:tc>
      </w:tr>
      <w:tr w:rsidR="00007997" w:rsidRPr="0058701B" w:rsidTr="00D02123">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 xml:space="preserve">2023-2026 წლები (2022 წლის </w:t>
            </w:r>
            <w:r w:rsidRPr="0058701B">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 xml:space="preserve">29,812 </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 xml:space="preserve">28,609 </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 xml:space="preserve">30,539 </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 xml:space="preserve">32,679 </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 xml:space="preserve">34,799 </w:t>
            </w:r>
          </w:p>
        </w:tc>
        <w:tc>
          <w:tcPr>
            <w:tcW w:w="529" w:type="pct"/>
            <w:tcBorders>
              <w:top w:val="nil"/>
              <w:left w:val="nil"/>
              <w:bottom w:val="single" w:sz="8" w:space="0" w:color="A5A5A5"/>
              <w:right w:val="single" w:sz="8" w:space="0" w:color="A5A5A5"/>
            </w:tcBorders>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 xml:space="preserve">36,819 </w:t>
            </w: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rPr>
                <w:rFonts w:ascii="Arial" w:eastAsia="Times New Roman" w:hAnsi="Arial" w:cs="Arial"/>
                <w:sz w:val="18"/>
                <w:szCs w:val="20"/>
              </w:rPr>
            </w:pPr>
          </w:p>
        </w:tc>
      </w:tr>
      <w:tr w:rsidR="00007997" w:rsidRPr="0058701B" w:rsidTr="00D02123">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49.7%</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39.6%</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38.3%</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37.8%</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37.2%</w:t>
            </w:r>
          </w:p>
        </w:tc>
        <w:tc>
          <w:tcPr>
            <w:tcW w:w="529" w:type="pct"/>
            <w:tcBorders>
              <w:top w:val="nil"/>
              <w:left w:val="nil"/>
              <w:bottom w:val="single" w:sz="8" w:space="0" w:color="A5A5A5"/>
              <w:right w:val="single" w:sz="8" w:space="0" w:color="A5A5A5"/>
            </w:tcBorders>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36.4%</w:t>
            </w: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p>
        </w:tc>
      </w:tr>
      <w:tr w:rsidR="00007997" w:rsidRPr="0058701B" w:rsidTr="00D02123">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58701B">
              <w:rPr>
                <w:rFonts w:ascii="Sylfaen" w:eastAsia="Times New Roman" w:hAnsi="Sylfaen" w:cs="Arial"/>
                <w:color w:val="000000"/>
                <w:sz w:val="18"/>
                <w:szCs w:val="18"/>
                <w:lang w:val="ka-GE"/>
              </w:rPr>
              <w:t>7</w:t>
            </w:r>
            <w:r w:rsidRPr="0058701B">
              <w:rPr>
                <w:rFonts w:ascii="Sylfaen" w:eastAsia="Times New Roman" w:hAnsi="Sylfaen" w:cs="Arial"/>
                <w:color w:val="000000"/>
                <w:sz w:val="18"/>
                <w:szCs w:val="18"/>
              </w:rPr>
              <w:t xml:space="preserve"> წლები (202</w:t>
            </w:r>
            <w:r w:rsidRPr="0058701B">
              <w:rPr>
                <w:rFonts w:ascii="Sylfaen" w:eastAsia="Times New Roman" w:hAnsi="Sylfaen" w:cs="Arial"/>
                <w:color w:val="000000"/>
                <w:sz w:val="18"/>
                <w:szCs w:val="18"/>
                <w:lang w:val="ka-GE"/>
              </w:rPr>
              <w:t>3</w:t>
            </w:r>
            <w:r w:rsidRPr="0058701B">
              <w:rPr>
                <w:rFonts w:ascii="Sylfaen" w:eastAsia="Times New Roman" w:hAnsi="Sylfaen" w:cs="Arial"/>
                <w:color w:val="000000"/>
                <w:sz w:val="18"/>
                <w:szCs w:val="18"/>
              </w:rPr>
              <w:t xml:space="preserve"> წლის </w:t>
            </w:r>
            <w:r w:rsidRPr="0058701B">
              <w:rPr>
                <w:rFonts w:ascii="Sylfaen" w:eastAsia="Times New Roman" w:hAnsi="Sylfaen" w:cs="Arial"/>
                <w:color w:val="000000"/>
                <w:sz w:val="18"/>
                <w:szCs w:val="18"/>
                <w:lang w:val="ka-GE"/>
              </w:rPr>
              <w:t>ივლისი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29,812</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28,538</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30,186</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32,658</w:t>
            </w:r>
          </w:p>
        </w:tc>
        <w:tc>
          <w:tcPr>
            <w:tcW w:w="529" w:type="pct"/>
            <w:tcBorders>
              <w:top w:val="nil"/>
              <w:left w:val="nil"/>
              <w:bottom w:val="single" w:sz="8" w:space="0" w:color="A5A5A5"/>
              <w:right w:val="single" w:sz="8" w:space="0" w:color="A5A5A5"/>
            </w:tcBorders>
            <w:shd w:val="clear" w:color="auto" w:fill="auto"/>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35,174</w:t>
            </w:r>
          </w:p>
        </w:tc>
        <w:tc>
          <w:tcPr>
            <w:tcW w:w="529" w:type="pct"/>
            <w:tcBorders>
              <w:top w:val="nil"/>
              <w:left w:val="nil"/>
              <w:bottom w:val="single" w:sz="8" w:space="0" w:color="A5A5A5"/>
              <w:right w:val="single" w:sz="8" w:space="0" w:color="A5A5A5"/>
            </w:tcBorders>
            <w:vAlign w:val="bottom"/>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37,692</w:t>
            </w:r>
          </w:p>
        </w:tc>
        <w:tc>
          <w:tcPr>
            <w:tcW w:w="529" w:type="pct"/>
            <w:tcBorders>
              <w:top w:val="nil"/>
              <w:left w:val="nil"/>
              <w:bottom w:val="single" w:sz="8" w:space="0" w:color="A5A5A5"/>
              <w:right w:val="single" w:sz="8" w:space="0" w:color="A5A5A5"/>
            </w:tcBorders>
          </w:tcPr>
          <w:p w:rsidR="00007997" w:rsidRPr="0058701B" w:rsidRDefault="00007997" w:rsidP="00D02123">
            <w:pPr>
              <w:spacing w:after="0" w:line="240" w:lineRule="auto"/>
              <w:rPr>
                <w:rFonts w:ascii="Arial" w:eastAsia="Times New Roman" w:hAnsi="Arial" w:cs="Arial"/>
                <w:sz w:val="18"/>
                <w:szCs w:val="20"/>
              </w:rPr>
            </w:pPr>
            <w:r w:rsidRPr="0058701B">
              <w:rPr>
                <w:rFonts w:ascii="Arial" w:eastAsia="Times New Roman" w:hAnsi="Arial" w:cs="Arial"/>
                <w:sz w:val="18"/>
                <w:szCs w:val="20"/>
              </w:rPr>
              <w:t>40,215</w:t>
            </w:r>
          </w:p>
        </w:tc>
      </w:tr>
      <w:tr w:rsidR="00007997" w:rsidRPr="0058701B" w:rsidTr="00D02123">
        <w:trPr>
          <w:trHeight w:val="303"/>
          <w:jc w:val="center"/>
        </w:trPr>
        <w:tc>
          <w:tcPr>
            <w:tcW w:w="1298" w:type="pct"/>
            <w:tcBorders>
              <w:top w:val="nil"/>
              <w:left w:val="single" w:sz="8" w:space="0" w:color="A5A5A5"/>
              <w:bottom w:val="single" w:sz="4" w:space="0" w:color="808080" w:themeColor="background1" w:themeShade="80"/>
              <w:right w:val="single" w:sz="8" w:space="0" w:color="A5A5A5"/>
            </w:tcBorders>
            <w:shd w:val="clear" w:color="auto" w:fill="auto"/>
            <w:vAlign w:val="center"/>
          </w:tcPr>
          <w:p w:rsidR="00007997" w:rsidRPr="0058701B" w:rsidRDefault="00007997" w:rsidP="00D02123">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4" w:space="0" w:color="808080" w:themeColor="background1" w:themeShade="80"/>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Arial" w:eastAsia="Times New Roman" w:hAnsi="Arial" w:cs="Arial"/>
                <w:i/>
                <w:color w:val="000000"/>
                <w:sz w:val="18"/>
                <w:szCs w:val="18"/>
                <w:lang w:val="ka-GE"/>
              </w:rPr>
              <w:t>49.7%</w:t>
            </w:r>
          </w:p>
        </w:tc>
        <w:tc>
          <w:tcPr>
            <w:tcW w:w="529" w:type="pct"/>
            <w:tcBorders>
              <w:top w:val="nil"/>
              <w:left w:val="nil"/>
              <w:bottom w:val="single" w:sz="4" w:space="0" w:color="808080" w:themeColor="background1" w:themeShade="80"/>
              <w:right w:val="single" w:sz="8" w:space="0" w:color="A5A5A5"/>
            </w:tcBorders>
            <w:shd w:val="clear" w:color="auto" w:fill="auto"/>
            <w:vAlign w:val="bottom"/>
          </w:tcPr>
          <w:p w:rsidR="00007997" w:rsidRPr="0058701B" w:rsidRDefault="00007997" w:rsidP="00D02123">
            <w:pPr>
              <w:spacing w:after="0" w:line="240" w:lineRule="auto"/>
              <w:jc w:val="center"/>
              <w:rPr>
                <w:rFonts w:ascii="Sylfaen" w:eastAsia="Times New Roman" w:hAnsi="Sylfaen" w:cs="Arial"/>
                <w:i/>
                <w:color w:val="000000"/>
                <w:sz w:val="18"/>
                <w:szCs w:val="18"/>
                <w:lang w:val="ka-GE"/>
              </w:rPr>
            </w:pPr>
            <w:r w:rsidRPr="0058701B">
              <w:rPr>
                <w:rFonts w:ascii="Sylfaen" w:eastAsia="Times New Roman" w:hAnsi="Sylfaen" w:cs="Arial"/>
                <w:i/>
                <w:color w:val="000000"/>
                <w:sz w:val="18"/>
                <w:szCs w:val="18"/>
                <w:lang w:val="ka-GE"/>
              </w:rPr>
              <w:t>39.8%</w:t>
            </w:r>
          </w:p>
        </w:tc>
        <w:tc>
          <w:tcPr>
            <w:tcW w:w="529" w:type="pct"/>
            <w:tcBorders>
              <w:top w:val="nil"/>
              <w:left w:val="nil"/>
              <w:bottom w:val="single" w:sz="4" w:space="0" w:color="808080" w:themeColor="background1" w:themeShade="80"/>
              <w:right w:val="single" w:sz="8" w:space="0" w:color="A5A5A5"/>
            </w:tcBorders>
            <w:shd w:val="clear" w:color="auto" w:fill="auto"/>
            <w:vAlign w:val="bottom"/>
          </w:tcPr>
          <w:p w:rsidR="00007997" w:rsidRPr="0058701B" w:rsidRDefault="00007997" w:rsidP="00D02123">
            <w:pPr>
              <w:spacing w:after="0" w:line="240" w:lineRule="auto"/>
              <w:jc w:val="center"/>
              <w:rPr>
                <w:rFonts w:ascii="Sylfaen" w:eastAsia="Times New Roman" w:hAnsi="Sylfaen" w:cs="Arial"/>
                <w:i/>
                <w:color w:val="000000"/>
                <w:sz w:val="18"/>
                <w:szCs w:val="18"/>
                <w:lang w:val="ka-GE"/>
              </w:rPr>
            </w:pPr>
            <w:r w:rsidRPr="0058701B">
              <w:rPr>
                <w:rFonts w:ascii="Sylfaen" w:eastAsia="Times New Roman" w:hAnsi="Sylfaen" w:cs="Arial"/>
                <w:i/>
                <w:color w:val="000000"/>
                <w:sz w:val="18"/>
                <w:szCs w:val="18"/>
                <w:lang w:val="ka-GE"/>
              </w:rPr>
              <w:t>38.6%</w:t>
            </w:r>
          </w:p>
        </w:tc>
        <w:tc>
          <w:tcPr>
            <w:tcW w:w="529" w:type="pct"/>
            <w:tcBorders>
              <w:top w:val="nil"/>
              <w:left w:val="nil"/>
              <w:bottom w:val="single" w:sz="4" w:space="0" w:color="808080" w:themeColor="background1" w:themeShade="80"/>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Sylfaen" w:eastAsia="Times New Roman" w:hAnsi="Sylfaen" w:cs="Arial"/>
                <w:i/>
                <w:color w:val="000000"/>
                <w:sz w:val="18"/>
                <w:szCs w:val="18"/>
                <w:lang w:val="ka-GE"/>
              </w:rPr>
              <w:t>38.6%</w:t>
            </w:r>
          </w:p>
        </w:tc>
        <w:tc>
          <w:tcPr>
            <w:tcW w:w="529" w:type="pct"/>
            <w:tcBorders>
              <w:top w:val="nil"/>
              <w:left w:val="nil"/>
              <w:bottom w:val="single" w:sz="4" w:space="0" w:color="808080" w:themeColor="background1" w:themeShade="80"/>
              <w:right w:val="single" w:sz="8" w:space="0" w:color="A5A5A5"/>
            </w:tcBorders>
            <w:shd w:val="clear" w:color="auto" w:fill="auto"/>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Sylfaen" w:eastAsia="Times New Roman" w:hAnsi="Sylfaen" w:cs="Arial"/>
                <w:i/>
                <w:color w:val="000000"/>
                <w:sz w:val="18"/>
                <w:szCs w:val="18"/>
                <w:lang w:val="ka-GE"/>
              </w:rPr>
              <w:t>38.4%</w:t>
            </w:r>
          </w:p>
        </w:tc>
        <w:tc>
          <w:tcPr>
            <w:tcW w:w="529" w:type="pct"/>
            <w:tcBorders>
              <w:top w:val="nil"/>
              <w:left w:val="nil"/>
              <w:bottom w:val="single" w:sz="4" w:space="0" w:color="808080" w:themeColor="background1" w:themeShade="80"/>
              <w:right w:val="single" w:sz="8" w:space="0" w:color="A5A5A5"/>
            </w:tcBorders>
            <w:vAlign w:val="bottom"/>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Sylfaen" w:eastAsia="Times New Roman" w:hAnsi="Sylfaen" w:cs="Arial"/>
                <w:i/>
                <w:color w:val="000000"/>
                <w:sz w:val="18"/>
                <w:szCs w:val="18"/>
                <w:lang w:val="ka-GE"/>
              </w:rPr>
              <w:t>38.1%</w:t>
            </w:r>
          </w:p>
        </w:tc>
        <w:tc>
          <w:tcPr>
            <w:tcW w:w="529" w:type="pct"/>
            <w:tcBorders>
              <w:top w:val="nil"/>
              <w:left w:val="nil"/>
              <w:bottom w:val="single" w:sz="4" w:space="0" w:color="808080" w:themeColor="background1" w:themeShade="80"/>
              <w:right w:val="single" w:sz="8" w:space="0" w:color="A5A5A5"/>
            </w:tcBorders>
          </w:tcPr>
          <w:p w:rsidR="00007997" w:rsidRPr="0058701B" w:rsidRDefault="00007997" w:rsidP="00D02123">
            <w:pPr>
              <w:spacing w:after="0" w:line="240" w:lineRule="auto"/>
              <w:jc w:val="center"/>
              <w:rPr>
                <w:rFonts w:ascii="Arial" w:eastAsia="Times New Roman" w:hAnsi="Arial" w:cs="Arial"/>
                <w:i/>
                <w:color w:val="000000"/>
                <w:sz w:val="18"/>
                <w:szCs w:val="18"/>
                <w:lang w:val="ka-GE"/>
              </w:rPr>
            </w:pPr>
            <w:r w:rsidRPr="0058701B">
              <w:rPr>
                <w:rFonts w:ascii="Sylfaen" w:eastAsia="Times New Roman" w:hAnsi="Sylfaen" w:cs="Arial"/>
                <w:i/>
                <w:color w:val="000000"/>
                <w:sz w:val="18"/>
                <w:szCs w:val="18"/>
                <w:lang w:val="ka-GE"/>
              </w:rPr>
              <w:t>37.</w:t>
            </w:r>
            <w:r>
              <w:rPr>
                <w:rFonts w:ascii="Sylfaen" w:eastAsia="Times New Roman" w:hAnsi="Sylfaen" w:cs="Arial"/>
                <w:i/>
                <w:color w:val="000000"/>
                <w:sz w:val="18"/>
                <w:szCs w:val="18"/>
                <w:lang w:val="ka-GE"/>
              </w:rPr>
              <w:t>7</w:t>
            </w:r>
            <w:r w:rsidRPr="0058701B">
              <w:rPr>
                <w:rFonts w:ascii="Sylfaen" w:eastAsia="Times New Roman" w:hAnsi="Sylfaen" w:cs="Arial"/>
                <w:i/>
                <w:color w:val="000000"/>
                <w:sz w:val="18"/>
                <w:szCs w:val="18"/>
                <w:lang w:val="ka-GE"/>
              </w:rPr>
              <w:t>%</w:t>
            </w:r>
          </w:p>
        </w:tc>
      </w:tr>
      <w:tr w:rsidR="00007997" w:rsidRPr="00392B7A" w:rsidTr="00D02123">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007997" w:rsidRPr="0058701B" w:rsidRDefault="00007997" w:rsidP="00D02123">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58701B">
              <w:rPr>
                <w:rFonts w:ascii="Sylfaen" w:eastAsia="Times New Roman" w:hAnsi="Sylfaen" w:cs="Arial"/>
                <w:color w:val="000000"/>
                <w:sz w:val="18"/>
                <w:szCs w:val="18"/>
                <w:lang w:val="ka-GE"/>
              </w:rPr>
              <w:t>7</w:t>
            </w:r>
            <w:r w:rsidRPr="0058701B">
              <w:rPr>
                <w:rFonts w:ascii="Sylfaen" w:eastAsia="Times New Roman" w:hAnsi="Sylfaen" w:cs="Arial"/>
                <w:color w:val="000000"/>
                <w:sz w:val="18"/>
                <w:szCs w:val="18"/>
              </w:rPr>
              <w:t xml:space="preserve"> წლები (202</w:t>
            </w:r>
            <w:r w:rsidRPr="0058701B">
              <w:rPr>
                <w:rFonts w:ascii="Sylfaen" w:eastAsia="Times New Roman" w:hAnsi="Sylfaen" w:cs="Arial"/>
                <w:color w:val="000000"/>
                <w:sz w:val="18"/>
                <w:szCs w:val="18"/>
                <w:lang w:val="ka-GE"/>
              </w:rPr>
              <w:t>3</w:t>
            </w:r>
            <w:r w:rsidRPr="0058701B">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სექტემბერი</w:t>
            </w:r>
            <w:r w:rsidRPr="0058701B">
              <w:rPr>
                <w:rFonts w:ascii="Sylfaen" w:eastAsia="Times New Roman" w:hAnsi="Sylfaen" w:cs="Arial"/>
                <w:color w:val="000000"/>
                <w:sz w:val="18"/>
                <w:szCs w:val="18"/>
              </w:rPr>
              <w:t>)</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tcPr>
          <w:p w:rsidR="00007997" w:rsidRPr="00392B7A" w:rsidRDefault="00007997" w:rsidP="00D02123">
            <w:pPr>
              <w:spacing w:after="0" w:line="240" w:lineRule="auto"/>
              <w:rPr>
                <w:rFonts w:ascii="Arial" w:eastAsia="Times New Roman" w:hAnsi="Arial" w:cs="Arial"/>
                <w:sz w:val="18"/>
                <w:szCs w:val="20"/>
              </w:rPr>
            </w:pPr>
            <w:r>
              <w:rPr>
                <w:rFonts w:ascii="Arial" w:eastAsia="Times New Roman" w:hAnsi="Arial" w:cs="Arial"/>
                <w:sz w:val="18"/>
                <w:szCs w:val="20"/>
              </w:rPr>
              <w:t>29.812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tcPr>
          <w:p w:rsidR="00007997" w:rsidRPr="00392B7A" w:rsidRDefault="00007997" w:rsidP="00D02123">
            <w:pPr>
              <w:spacing w:after="0" w:line="240" w:lineRule="auto"/>
              <w:rPr>
                <w:rFonts w:ascii="Arial" w:eastAsia="Times New Roman" w:hAnsi="Arial" w:cs="Arial"/>
                <w:sz w:val="18"/>
                <w:szCs w:val="20"/>
              </w:rPr>
            </w:pPr>
            <w:r>
              <w:rPr>
                <w:rFonts w:ascii="Arial" w:eastAsia="Times New Roman" w:hAnsi="Arial" w:cs="Arial"/>
                <w:sz w:val="18"/>
                <w:szCs w:val="20"/>
              </w:rPr>
              <w:t>28.</w:t>
            </w:r>
            <w:r w:rsidRPr="00392B7A">
              <w:rPr>
                <w:rFonts w:ascii="Arial" w:eastAsia="Times New Roman" w:hAnsi="Arial" w:cs="Arial"/>
                <w:sz w:val="18"/>
                <w:szCs w:val="20"/>
              </w:rPr>
              <w:t>538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tcPr>
          <w:p w:rsidR="00007997" w:rsidRPr="00392B7A" w:rsidRDefault="00007997" w:rsidP="00D02123">
            <w:pPr>
              <w:spacing w:after="0" w:line="240" w:lineRule="auto"/>
              <w:rPr>
                <w:rFonts w:ascii="Arial" w:eastAsia="Times New Roman" w:hAnsi="Arial" w:cs="Arial"/>
                <w:sz w:val="18"/>
                <w:szCs w:val="20"/>
              </w:rPr>
            </w:pPr>
            <w:r>
              <w:rPr>
                <w:rFonts w:ascii="Arial" w:eastAsia="Times New Roman" w:hAnsi="Arial" w:cs="Arial"/>
                <w:sz w:val="18"/>
                <w:szCs w:val="20"/>
              </w:rPr>
              <w:t>30</w:t>
            </w:r>
            <w:r>
              <w:rPr>
                <w:rFonts w:eastAsia="Times New Roman" w:cs="Arial"/>
                <w:sz w:val="18"/>
                <w:szCs w:val="20"/>
                <w:lang w:val="ka-GE"/>
              </w:rPr>
              <w:t>.</w:t>
            </w:r>
            <w:r w:rsidRPr="00392B7A">
              <w:rPr>
                <w:rFonts w:ascii="Arial" w:eastAsia="Times New Roman" w:hAnsi="Arial" w:cs="Arial"/>
                <w:sz w:val="18"/>
                <w:szCs w:val="20"/>
              </w:rPr>
              <w:t>291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tcPr>
          <w:p w:rsidR="00007997" w:rsidRPr="00392B7A" w:rsidRDefault="00007997" w:rsidP="00D02123">
            <w:pPr>
              <w:spacing w:after="0" w:line="240" w:lineRule="auto"/>
              <w:rPr>
                <w:rFonts w:ascii="Arial" w:eastAsia="Times New Roman" w:hAnsi="Arial" w:cs="Arial"/>
                <w:sz w:val="18"/>
                <w:szCs w:val="20"/>
              </w:rPr>
            </w:pPr>
            <w:r>
              <w:rPr>
                <w:rFonts w:ascii="Arial" w:eastAsia="Times New Roman" w:hAnsi="Arial" w:cs="Arial"/>
                <w:sz w:val="18"/>
                <w:szCs w:val="20"/>
              </w:rPr>
              <w:t>32.</w:t>
            </w:r>
            <w:r w:rsidRPr="00392B7A">
              <w:rPr>
                <w:rFonts w:ascii="Arial" w:eastAsia="Times New Roman" w:hAnsi="Arial" w:cs="Arial"/>
                <w:sz w:val="18"/>
                <w:szCs w:val="20"/>
              </w:rPr>
              <w:t>634</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tcPr>
          <w:p w:rsidR="00007997" w:rsidRPr="00392B7A" w:rsidRDefault="00007997" w:rsidP="00D02123">
            <w:pPr>
              <w:spacing w:after="0" w:line="240" w:lineRule="auto"/>
              <w:rPr>
                <w:rFonts w:ascii="Arial" w:eastAsia="Times New Roman" w:hAnsi="Arial" w:cs="Arial"/>
                <w:sz w:val="18"/>
                <w:szCs w:val="20"/>
              </w:rPr>
            </w:pPr>
            <w:r>
              <w:rPr>
                <w:rFonts w:ascii="Arial" w:eastAsia="Times New Roman" w:hAnsi="Arial" w:cs="Arial"/>
                <w:sz w:val="18"/>
                <w:szCs w:val="20"/>
              </w:rPr>
              <w:t>35.153</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tcPr>
          <w:p w:rsidR="00007997" w:rsidRPr="00392B7A" w:rsidRDefault="00007997" w:rsidP="00D02123">
            <w:pPr>
              <w:spacing w:after="0" w:line="240" w:lineRule="auto"/>
              <w:rPr>
                <w:rFonts w:ascii="Arial" w:eastAsia="Times New Roman" w:hAnsi="Arial" w:cs="Arial"/>
                <w:sz w:val="18"/>
                <w:szCs w:val="20"/>
              </w:rPr>
            </w:pPr>
            <w:r>
              <w:rPr>
                <w:rFonts w:ascii="Arial" w:eastAsia="Times New Roman" w:hAnsi="Arial" w:cs="Arial"/>
                <w:sz w:val="18"/>
                <w:szCs w:val="20"/>
              </w:rPr>
              <w:t>37.</w:t>
            </w:r>
            <w:r w:rsidRPr="00392B7A">
              <w:rPr>
                <w:rFonts w:ascii="Arial" w:eastAsia="Times New Roman" w:hAnsi="Arial" w:cs="Arial"/>
                <w:sz w:val="18"/>
                <w:szCs w:val="20"/>
              </w:rPr>
              <w:t>785</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tcPr>
          <w:p w:rsidR="00007997" w:rsidRPr="00392B7A" w:rsidRDefault="00007997" w:rsidP="00D02123">
            <w:pPr>
              <w:spacing w:after="0" w:line="240" w:lineRule="auto"/>
              <w:rPr>
                <w:rFonts w:ascii="Arial" w:eastAsia="Times New Roman" w:hAnsi="Arial" w:cs="Arial"/>
                <w:sz w:val="18"/>
                <w:szCs w:val="20"/>
              </w:rPr>
            </w:pPr>
            <w:r w:rsidRPr="00392B7A">
              <w:rPr>
                <w:rFonts w:ascii="Arial" w:eastAsia="Times New Roman" w:hAnsi="Arial" w:cs="Arial"/>
                <w:sz w:val="18"/>
                <w:szCs w:val="20"/>
              </w:rPr>
              <w:t>40</w:t>
            </w:r>
            <w:r>
              <w:rPr>
                <w:rFonts w:eastAsia="Times New Roman" w:cs="Arial"/>
                <w:sz w:val="18"/>
                <w:szCs w:val="20"/>
                <w:lang w:val="ka-GE"/>
              </w:rPr>
              <w:t>.</w:t>
            </w:r>
            <w:r>
              <w:rPr>
                <w:rFonts w:ascii="Arial" w:eastAsia="Times New Roman" w:hAnsi="Arial" w:cs="Arial"/>
                <w:sz w:val="18"/>
                <w:szCs w:val="20"/>
              </w:rPr>
              <w:t>369</w:t>
            </w:r>
          </w:p>
        </w:tc>
      </w:tr>
      <w:tr w:rsidR="00007997" w:rsidRPr="0058701B" w:rsidTr="00D02123">
        <w:trPr>
          <w:trHeight w:val="303"/>
          <w:jc w:val="center"/>
        </w:trPr>
        <w:tc>
          <w:tcPr>
            <w:tcW w:w="1298" w:type="pct"/>
            <w:tcBorders>
              <w:top w:val="single" w:sz="4" w:space="0" w:color="808080" w:themeColor="background1" w:themeShade="80"/>
              <w:left w:val="single" w:sz="8" w:space="0" w:color="A5A5A5"/>
              <w:bottom w:val="single" w:sz="8" w:space="0" w:color="A5A5A5"/>
              <w:right w:val="single" w:sz="8" w:space="0" w:color="A5A5A5"/>
            </w:tcBorders>
            <w:shd w:val="clear" w:color="auto" w:fill="auto"/>
            <w:vAlign w:val="center"/>
          </w:tcPr>
          <w:p w:rsidR="00007997" w:rsidRPr="0058701B" w:rsidRDefault="00007997" w:rsidP="00D02123">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49.7%</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39.8%</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38.4%</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38.2%</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38.1%</w:t>
            </w:r>
          </w:p>
        </w:tc>
        <w:tc>
          <w:tcPr>
            <w:tcW w:w="529" w:type="pct"/>
            <w:tcBorders>
              <w:top w:val="single" w:sz="4" w:space="0" w:color="808080" w:themeColor="background1" w:themeShade="80"/>
              <w:left w:val="nil"/>
              <w:bottom w:val="single" w:sz="8" w:space="0" w:color="A5A5A5"/>
              <w:right w:val="single" w:sz="8" w:space="0" w:color="A5A5A5"/>
            </w:tcBorders>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37.8%</w:t>
            </w:r>
          </w:p>
        </w:tc>
        <w:tc>
          <w:tcPr>
            <w:tcW w:w="529" w:type="pct"/>
            <w:tcBorders>
              <w:top w:val="single" w:sz="4" w:space="0" w:color="808080" w:themeColor="background1" w:themeShade="80"/>
              <w:left w:val="nil"/>
              <w:bottom w:val="single" w:sz="8" w:space="0" w:color="A5A5A5"/>
              <w:right w:val="single" w:sz="8" w:space="0" w:color="A5A5A5"/>
            </w:tcBorders>
          </w:tcPr>
          <w:p w:rsidR="00007997" w:rsidRPr="00392B7A" w:rsidRDefault="00007997" w:rsidP="00D02123">
            <w:pPr>
              <w:spacing w:after="0" w:line="240" w:lineRule="auto"/>
              <w:jc w:val="center"/>
              <w:rPr>
                <w:rFonts w:ascii="Arial" w:eastAsia="Times New Roman" w:hAnsi="Arial" w:cs="Arial"/>
                <w:i/>
                <w:color w:val="000000"/>
                <w:sz w:val="18"/>
                <w:szCs w:val="18"/>
                <w:lang w:val="ka-GE"/>
              </w:rPr>
            </w:pPr>
            <w:r w:rsidRPr="00392B7A">
              <w:rPr>
                <w:rFonts w:ascii="Arial" w:eastAsia="Times New Roman" w:hAnsi="Arial" w:cs="Arial"/>
                <w:i/>
                <w:color w:val="000000"/>
                <w:sz w:val="18"/>
                <w:szCs w:val="18"/>
                <w:lang w:val="ka-GE"/>
              </w:rPr>
              <w:t>37.4%</w:t>
            </w:r>
          </w:p>
        </w:tc>
      </w:tr>
    </w:tbl>
    <w:p w:rsidR="004146A8" w:rsidRPr="00A20E4E" w:rsidRDefault="004146A8" w:rsidP="004146A8">
      <w:pPr>
        <w:pStyle w:val="NoSpacing"/>
        <w:spacing w:line="276" w:lineRule="auto"/>
        <w:ind w:firstLine="720"/>
        <w:jc w:val="both"/>
        <w:rPr>
          <w:rFonts w:ascii="Sylfaen" w:hAnsi="Sylfaen"/>
          <w:highlight w:val="yellow"/>
          <w:lang w:val="ka-GE"/>
        </w:rPr>
      </w:pPr>
    </w:p>
    <w:p w:rsidR="00007997" w:rsidRPr="0058701B" w:rsidRDefault="00007997" w:rsidP="00007997">
      <w:pPr>
        <w:pStyle w:val="NoSpacing"/>
        <w:spacing w:line="276" w:lineRule="auto"/>
        <w:ind w:firstLine="720"/>
        <w:jc w:val="both"/>
        <w:rPr>
          <w:rFonts w:ascii="Sylfaen" w:hAnsi="Sylfaen"/>
        </w:rPr>
      </w:pPr>
      <w:r w:rsidRPr="0058701B">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w:t>
      </w:r>
      <w:r>
        <w:rPr>
          <w:rFonts w:ascii="Sylfaen" w:hAnsi="Sylfaen"/>
          <w:lang w:val="ka-GE"/>
        </w:rPr>
        <w:t>2023 წლის ივლისში</w:t>
      </w:r>
      <w:r w:rsidRPr="0058701B">
        <w:rPr>
          <w:rFonts w:ascii="Sylfaen" w:hAnsi="Sylfaen"/>
          <w:lang w:val="ka-GE"/>
        </w:rPr>
        <w:t xml:space="preserve"> მომზადებულ პროგნოზებთან შედარებით ძირითადად გამოწვეულია 2023 წლის რეალური ეკონომიკის ზრდის</w:t>
      </w:r>
      <w:r>
        <w:rPr>
          <w:rFonts w:ascii="Sylfaen" w:hAnsi="Sylfaen"/>
          <w:lang w:val="ka-GE"/>
        </w:rPr>
        <w:t xml:space="preserve"> და</w:t>
      </w:r>
      <w:r w:rsidRPr="0058701B">
        <w:rPr>
          <w:rFonts w:ascii="Sylfaen" w:hAnsi="Sylfaen"/>
          <w:lang w:val="ka-GE"/>
        </w:rPr>
        <w:t xml:space="preserve"> მშპ დეფლატორის პროგნოზების</w:t>
      </w:r>
      <w:r>
        <w:rPr>
          <w:rFonts w:ascii="Sylfaen" w:hAnsi="Sylfaen"/>
          <w:lang w:val="ka-GE"/>
        </w:rPr>
        <w:t xml:space="preserve"> დამიმდინარე გაცვლით კურსების</w:t>
      </w:r>
      <w:r w:rsidRPr="0058701B">
        <w:rPr>
          <w:rFonts w:ascii="Sylfaen" w:hAnsi="Sylfaen"/>
          <w:lang w:val="ka-GE"/>
        </w:rPr>
        <w:t xml:space="preserve"> ცვლილების გამო. 202</w:t>
      </w:r>
      <w:r w:rsidRPr="0058701B">
        <w:rPr>
          <w:rFonts w:ascii="Sylfaen" w:hAnsi="Sylfaen"/>
        </w:rPr>
        <w:t>3</w:t>
      </w:r>
      <w:r w:rsidRPr="0058701B">
        <w:rPr>
          <w:rFonts w:ascii="Sylfaen" w:hAnsi="Sylfaen"/>
          <w:lang w:val="ka-GE"/>
        </w:rPr>
        <w:t xml:space="preserve"> წლის ბოლოს მდგომარეობით ეკონომიკის რეალური ზრდა მოსალოდნელია </w:t>
      </w:r>
      <w:r>
        <w:rPr>
          <w:rFonts w:ascii="Sylfaen" w:hAnsi="Sylfaen"/>
          <w:lang w:val="ka-GE"/>
        </w:rPr>
        <w:t>6</w:t>
      </w:r>
      <w:r w:rsidRPr="0058701B">
        <w:rPr>
          <w:rFonts w:ascii="Sylfaen" w:hAnsi="Sylfaen"/>
        </w:rPr>
        <w:t>.</w:t>
      </w:r>
      <w:r>
        <w:rPr>
          <w:rFonts w:ascii="Sylfaen" w:hAnsi="Sylfaen"/>
          <w:lang w:val="ka-GE"/>
        </w:rPr>
        <w:t>5</w:t>
      </w:r>
      <w:r w:rsidRPr="0058701B">
        <w:rPr>
          <w:rFonts w:ascii="Sylfaen" w:hAnsi="Sylfaen"/>
          <w:lang w:val="ka-GE"/>
        </w:rPr>
        <w:t xml:space="preserve">%-ის ნიშნულზე და მშპ დეფლატორის ზრდა </w:t>
      </w:r>
      <w:r w:rsidRPr="0058701B">
        <w:rPr>
          <w:rFonts w:ascii="Sylfaen" w:hAnsi="Sylfaen"/>
        </w:rPr>
        <w:t>3.</w:t>
      </w:r>
      <w:r>
        <w:rPr>
          <w:rFonts w:ascii="Sylfaen" w:hAnsi="Sylfaen"/>
          <w:lang w:val="ka-GE"/>
        </w:rPr>
        <w:t>1</w:t>
      </w:r>
      <w:r w:rsidRPr="0058701B">
        <w:rPr>
          <w:rFonts w:ascii="Sylfaen" w:hAnsi="Sylfaen"/>
          <w:lang w:val="ka-GE"/>
        </w:rPr>
        <w:t xml:space="preserve">%-ის დონეზე, რაც </w:t>
      </w:r>
      <w:r>
        <w:rPr>
          <w:rFonts w:ascii="Sylfaen" w:hAnsi="Sylfaen"/>
          <w:lang w:val="ka-GE"/>
        </w:rPr>
        <w:t>განსხვავდება 2023 წლის ივლისის პროგნოზებისგან (5.4% და 3.3% შესაბამისად)</w:t>
      </w:r>
      <w:r w:rsidRPr="0058701B">
        <w:rPr>
          <w:rFonts w:ascii="Sylfaen" w:hAnsi="Sylfaen"/>
          <w:lang w:val="ka-GE"/>
        </w:rPr>
        <w:t>. 2023 წლის ბოლოს ვალის მშპ-თან ფარდობის შემცირება მოსალოდნელია 38.</w:t>
      </w:r>
      <w:r>
        <w:rPr>
          <w:rFonts w:ascii="Sylfaen" w:hAnsi="Sylfaen"/>
          <w:lang w:val="ka-GE"/>
        </w:rPr>
        <w:t>4</w:t>
      </w:r>
      <w:r w:rsidRPr="0058701B">
        <w:rPr>
          <w:rFonts w:ascii="Sylfaen" w:hAnsi="Sylfaen"/>
          <w:lang w:val="ka-GE"/>
        </w:rPr>
        <w:t>%-მდე. ვალის მშპ-თან ფარდობის შემცირება პროგნოზირებულია შემდეგ წლებშიც, ხოლო 2027 წლის ბოლოს აღნიშნული მაჩვენებელი ჩამოვა 37.</w:t>
      </w:r>
      <w:r>
        <w:rPr>
          <w:rFonts w:ascii="Sylfaen" w:hAnsi="Sylfaen"/>
          <w:lang w:val="ka-GE"/>
        </w:rPr>
        <w:t>4</w:t>
      </w:r>
      <w:r w:rsidRPr="0058701B">
        <w:rPr>
          <w:rFonts w:ascii="Sylfaen" w:hAnsi="Sylfaen"/>
          <w:lang w:val="ka-GE"/>
        </w:rPr>
        <w:t>%-მდე.</w:t>
      </w:r>
    </w:p>
    <w:p w:rsidR="00007997" w:rsidRDefault="00007997" w:rsidP="00007997">
      <w:pPr>
        <w:pStyle w:val="NoSpacing"/>
        <w:spacing w:line="276" w:lineRule="auto"/>
        <w:ind w:firstLine="720"/>
        <w:jc w:val="both"/>
        <w:rPr>
          <w:rFonts w:ascii="Sylfaen" w:hAnsi="Sylfaen"/>
          <w:lang w:val="ka-GE"/>
        </w:rPr>
      </w:pPr>
      <w:r w:rsidRPr="0058701B">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(2022 წლისთვის - 75%),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2023-2026 (</w:t>
      </w:r>
      <w:hyperlink r:id="rId9" w:history="1">
        <w:r w:rsidRPr="0058701B">
          <w:rPr>
            <w:rStyle w:val="Hyperlink"/>
            <w:rFonts w:ascii="Sylfaen" w:hAnsi="Sylfaen"/>
            <w:lang w:val="ka-GE"/>
          </w:rPr>
          <w:t>https://mof.ge/5231</w:t>
        </w:r>
      </w:hyperlink>
      <w:r w:rsidRPr="0058701B">
        <w:rPr>
          <w:rFonts w:ascii="Sylfaen" w:hAnsi="Sylfaen"/>
          <w:lang w:val="ka-GE"/>
        </w:rPr>
        <w:t>)</w:t>
      </w:r>
      <w:r w:rsidRPr="0058701B">
        <w:rPr>
          <w:rFonts w:ascii="Sylfaen" w:hAnsi="Sylfaen"/>
        </w:rPr>
        <w:t xml:space="preserve"> </w:t>
      </w:r>
      <w:r w:rsidRPr="0058701B">
        <w:rPr>
          <w:rFonts w:ascii="Sylfaen" w:hAnsi="Sylfaen"/>
          <w:lang w:val="ka-GE"/>
        </w:rPr>
        <w:t>ვალის მშპ-თან ფარდობის უსაფრთხო დონეზე შენარჩუნებასთან ერთად, ორიენტირებულია მთლიან ვალში საგარეო ვალის წილის შემცირებაზე.</w:t>
      </w:r>
      <w:r>
        <w:rPr>
          <w:rFonts w:ascii="Sylfaen" w:hAnsi="Sylfaen"/>
          <w:lang w:val="ka-GE"/>
        </w:rPr>
        <w:t xml:space="preserve"> </w:t>
      </w:r>
    </w:p>
    <w:p w:rsidR="004146A8" w:rsidRPr="00A20E4E" w:rsidRDefault="004146A8" w:rsidP="004146A8">
      <w:pPr>
        <w:pStyle w:val="NoSpacing"/>
        <w:spacing w:line="276" w:lineRule="auto"/>
        <w:ind w:firstLine="720"/>
        <w:jc w:val="both"/>
        <w:rPr>
          <w:rFonts w:ascii="Sylfaen" w:hAnsi="Sylfaen"/>
          <w:highlight w:val="yellow"/>
          <w:lang w:val="ka-GE"/>
        </w:rPr>
      </w:pPr>
    </w:p>
    <w:sectPr w:rsidR="004146A8" w:rsidRPr="00A20E4E" w:rsidSect="00AD4464">
      <w:pgSz w:w="12240" w:h="15840"/>
      <w:pgMar w:top="709" w:right="902"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C1" w:rsidRDefault="00D308C1" w:rsidP="009F60D8">
      <w:pPr>
        <w:spacing w:after="0" w:line="240" w:lineRule="auto"/>
      </w:pPr>
      <w:r>
        <w:separator/>
      </w:r>
    </w:p>
  </w:endnote>
  <w:endnote w:type="continuationSeparator" w:id="0">
    <w:p w:rsidR="00D308C1" w:rsidRDefault="00D308C1"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123" w:rsidRDefault="00D0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C1" w:rsidRDefault="00D308C1" w:rsidP="009F60D8">
      <w:pPr>
        <w:spacing w:after="0" w:line="240" w:lineRule="auto"/>
      </w:pPr>
      <w:r>
        <w:separator/>
      </w:r>
    </w:p>
  </w:footnote>
  <w:footnote w:type="continuationSeparator" w:id="0">
    <w:p w:rsidR="00D308C1" w:rsidRDefault="00D308C1"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2"/>
  </w:num>
  <w:num w:numId="2">
    <w:abstractNumId w:val="0"/>
  </w:num>
  <w:num w:numId="3">
    <w:abstractNumId w:val="13"/>
  </w:num>
  <w:num w:numId="4">
    <w:abstractNumId w:val="25"/>
  </w:num>
  <w:num w:numId="5">
    <w:abstractNumId w:val="15"/>
  </w:num>
  <w:num w:numId="6">
    <w:abstractNumId w:val="3"/>
  </w:num>
  <w:num w:numId="7">
    <w:abstractNumId w:val="21"/>
  </w:num>
  <w:num w:numId="8">
    <w:abstractNumId w:val="5"/>
  </w:num>
  <w:num w:numId="9">
    <w:abstractNumId w:val="17"/>
  </w:num>
  <w:num w:numId="10">
    <w:abstractNumId w:val="8"/>
  </w:num>
  <w:num w:numId="11">
    <w:abstractNumId w:val="9"/>
  </w:num>
  <w:num w:numId="12">
    <w:abstractNumId w:val="19"/>
  </w:num>
  <w:num w:numId="13">
    <w:abstractNumId w:val="18"/>
  </w:num>
  <w:num w:numId="14">
    <w:abstractNumId w:val="2"/>
  </w:num>
  <w:num w:numId="15">
    <w:abstractNumId w:val="14"/>
  </w:num>
  <w:num w:numId="16">
    <w:abstractNumId w:val="4"/>
  </w:num>
  <w:num w:numId="17">
    <w:abstractNumId w:val="12"/>
  </w:num>
  <w:num w:numId="18">
    <w:abstractNumId w:val="16"/>
  </w:num>
  <w:num w:numId="19">
    <w:abstractNumId w:val="24"/>
  </w:num>
  <w:num w:numId="20">
    <w:abstractNumId w:val="23"/>
  </w:num>
  <w:num w:numId="21">
    <w:abstractNumId w:val="7"/>
  </w:num>
  <w:num w:numId="22">
    <w:abstractNumId w:val="10"/>
  </w:num>
  <w:num w:numId="23">
    <w:abstractNumId w:val="20"/>
  </w:num>
  <w:num w:numId="24">
    <w:abstractNumId w:val="1"/>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997"/>
    <w:rsid w:val="00007FBA"/>
    <w:rsid w:val="00013AC3"/>
    <w:rsid w:val="00014376"/>
    <w:rsid w:val="00017173"/>
    <w:rsid w:val="0002038B"/>
    <w:rsid w:val="00024261"/>
    <w:rsid w:val="00025F53"/>
    <w:rsid w:val="000314F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B616D"/>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27E80"/>
    <w:rsid w:val="00131827"/>
    <w:rsid w:val="001344A0"/>
    <w:rsid w:val="0014071C"/>
    <w:rsid w:val="00142836"/>
    <w:rsid w:val="001476AE"/>
    <w:rsid w:val="0015245E"/>
    <w:rsid w:val="00156791"/>
    <w:rsid w:val="00160CFD"/>
    <w:rsid w:val="00163AF5"/>
    <w:rsid w:val="00164376"/>
    <w:rsid w:val="0016442C"/>
    <w:rsid w:val="00172AEE"/>
    <w:rsid w:val="00175EEC"/>
    <w:rsid w:val="00176389"/>
    <w:rsid w:val="00180731"/>
    <w:rsid w:val="00185442"/>
    <w:rsid w:val="00187569"/>
    <w:rsid w:val="001875B2"/>
    <w:rsid w:val="0019571F"/>
    <w:rsid w:val="001A228B"/>
    <w:rsid w:val="001A603A"/>
    <w:rsid w:val="001A6A94"/>
    <w:rsid w:val="001B0ADE"/>
    <w:rsid w:val="001B1BB4"/>
    <w:rsid w:val="001B20F7"/>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A7FB3"/>
    <w:rsid w:val="002B7BCD"/>
    <w:rsid w:val="002C4CEA"/>
    <w:rsid w:val="002E1420"/>
    <w:rsid w:val="002E638F"/>
    <w:rsid w:val="002F1C52"/>
    <w:rsid w:val="002F2BC3"/>
    <w:rsid w:val="003048EB"/>
    <w:rsid w:val="00304B4F"/>
    <w:rsid w:val="00306448"/>
    <w:rsid w:val="00306D41"/>
    <w:rsid w:val="0030711A"/>
    <w:rsid w:val="00311AE3"/>
    <w:rsid w:val="00317572"/>
    <w:rsid w:val="00320B35"/>
    <w:rsid w:val="00322175"/>
    <w:rsid w:val="00322417"/>
    <w:rsid w:val="00332395"/>
    <w:rsid w:val="0033239E"/>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171E"/>
    <w:rsid w:val="003C22EC"/>
    <w:rsid w:val="003C3FC5"/>
    <w:rsid w:val="003D1E12"/>
    <w:rsid w:val="003D244E"/>
    <w:rsid w:val="003D36A8"/>
    <w:rsid w:val="003D380D"/>
    <w:rsid w:val="003D62EE"/>
    <w:rsid w:val="003D77D7"/>
    <w:rsid w:val="003E39B9"/>
    <w:rsid w:val="003E4039"/>
    <w:rsid w:val="003E631B"/>
    <w:rsid w:val="003E78CE"/>
    <w:rsid w:val="003F0EA7"/>
    <w:rsid w:val="003F2DF1"/>
    <w:rsid w:val="003F4774"/>
    <w:rsid w:val="003F53B1"/>
    <w:rsid w:val="003F57B5"/>
    <w:rsid w:val="003F596F"/>
    <w:rsid w:val="004003C1"/>
    <w:rsid w:val="004025F5"/>
    <w:rsid w:val="00403068"/>
    <w:rsid w:val="00404E8F"/>
    <w:rsid w:val="0040580D"/>
    <w:rsid w:val="0041266C"/>
    <w:rsid w:val="0041284B"/>
    <w:rsid w:val="004146A8"/>
    <w:rsid w:val="0041719A"/>
    <w:rsid w:val="00420EC8"/>
    <w:rsid w:val="00422B46"/>
    <w:rsid w:val="00423421"/>
    <w:rsid w:val="0042677B"/>
    <w:rsid w:val="00431DB1"/>
    <w:rsid w:val="00436064"/>
    <w:rsid w:val="00444998"/>
    <w:rsid w:val="0044579A"/>
    <w:rsid w:val="00447EE1"/>
    <w:rsid w:val="004502DC"/>
    <w:rsid w:val="00452AC8"/>
    <w:rsid w:val="00453C2D"/>
    <w:rsid w:val="0045636A"/>
    <w:rsid w:val="00457F1D"/>
    <w:rsid w:val="00462524"/>
    <w:rsid w:val="004654A1"/>
    <w:rsid w:val="0046628B"/>
    <w:rsid w:val="00470304"/>
    <w:rsid w:val="00475FE9"/>
    <w:rsid w:val="00476074"/>
    <w:rsid w:val="00487C3E"/>
    <w:rsid w:val="0049650A"/>
    <w:rsid w:val="004A22FD"/>
    <w:rsid w:val="004A237E"/>
    <w:rsid w:val="004A2ACF"/>
    <w:rsid w:val="004A2ED7"/>
    <w:rsid w:val="004A68C1"/>
    <w:rsid w:val="004B0157"/>
    <w:rsid w:val="004B4018"/>
    <w:rsid w:val="004B6710"/>
    <w:rsid w:val="004B6789"/>
    <w:rsid w:val="004C485C"/>
    <w:rsid w:val="004D1FDB"/>
    <w:rsid w:val="004D54B1"/>
    <w:rsid w:val="004E4CDA"/>
    <w:rsid w:val="004E4D8F"/>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6D09"/>
    <w:rsid w:val="005A7824"/>
    <w:rsid w:val="005B1C09"/>
    <w:rsid w:val="005B365D"/>
    <w:rsid w:val="005C3422"/>
    <w:rsid w:val="005C3DED"/>
    <w:rsid w:val="005C49CA"/>
    <w:rsid w:val="005C64F7"/>
    <w:rsid w:val="005C6650"/>
    <w:rsid w:val="005C7A8F"/>
    <w:rsid w:val="005C7DFB"/>
    <w:rsid w:val="005D79EB"/>
    <w:rsid w:val="005E0AEF"/>
    <w:rsid w:val="005E18E6"/>
    <w:rsid w:val="005E1D74"/>
    <w:rsid w:val="005E435E"/>
    <w:rsid w:val="005F2DAC"/>
    <w:rsid w:val="005F4177"/>
    <w:rsid w:val="006004B7"/>
    <w:rsid w:val="00600756"/>
    <w:rsid w:val="00606701"/>
    <w:rsid w:val="0061130B"/>
    <w:rsid w:val="006126AE"/>
    <w:rsid w:val="00625504"/>
    <w:rsid w:val="006331BA"/>
    <w:rsid w:val="00637FC7"/>
    <w:rsid w:val="0064560E"/>
    <w:rsid w:val="00647038"/>
    <w:rsid w:val="00650744"/>
    <w:rsid w:val="006609EF"/>
    <w:rsid w:val="00663E28"/>
    <w:rsid w:val="00671C42"/>
    <w:rsid w:val="0067395F"/>
    <w:rsid w:val="0067433B"/>
    <w:rsid w:val="00674E6F"/>
    <w:rsid w:val="00680339"/>
    <w:rsid w:val="00685A5A"/>
    <w:rsid w:val="006904FA"/>
    <w:rsid w:val="00693CED"/>
    <w:rsid w:val="006A0158"/>
    <w:rsid w:val="006A22AE"/>
    <w:rsid w:val="006A3D51"/>
    <w:rsid w:val="006A6BD0"/>
    <w:rsid w:val="006B2766"/>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4817"/>
    <w:rsid w:val="0073665F"/>
    <w:rsid w:val="007366C4"/>
    <w:rsid w:val="00741617"/>
    <w:rsid w:val="00743CA7"/>
    <w:rsid w:val="0074751F"/>
    <w:rsid w:val="007656A6"/>
    <w:rsid w:val="007716A2"/>
    <w:rsid w:val="00773D36"/>
    <w:rsid w:val="00776610"/>
    <w:rsid w:val="00781209"/>
    <w:rsid w:val="00782ECE"/>
    <w:rsid w:val="00782ED6"/>
    <w:rsid w:val="00785FB9"/>
    <w:rsid w:val="00787302"/>
    <w:rsid w:val="00795AE8"/>
    <w:rsid w:val="00795DE8"/>
    <w:rsid w:val="007A37DE"/>
    <w:rsid w:val="007B0F7D"/>
    <w:rsid w:val="007B6B22"/>
    <w:rsid w:val="007B6E63"/>
    <w:rsid w:val="007C687D"/>
    <w:rsid w:val="007D46C3"/>
    <w:rsid w:val="007D6F01"/>
    <w:rsid w:val="007D7CE4"/>
    <w:rsid w:val="007E09D9"/>
    <w:rsid w:val="007E342E"/>
    <w:rsid w:val="007E4307"/>
    <w:rsid w:val="007E4635"/>
    <w:rsid w:val="007E4D42"/>
    <w:rsid w:val="007E59A3"/>
    <w:rsid w:val="007E72AE"/>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23CC1"/>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0627"/>
    <w:rsid w:val="008C1EB7"/>
    <w:rsid w:val="008C5E23"/>
    <w:rsid w:val="008C666C"/>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5392"/>
    <w:rsid w:val="0094642B"/>
    <w:rsid w:val="00952986"/>
    <w:rsid w:val="009610BF"/>
    <w:rsid w:val="009615ED"/>
    <w:rsid w:val="009653F7"/>
    <w:rsid w:val="00965905"/>
    <w:rsid w:val="009661F8"/>
    <w:rsid w:val="00970A67"/>
    <w:rsid w:val="00973762"/>
    <w:rsid w:val="00975572"/>
    <w:rsid w:val="00976756"/>
    <w:rsid w:val="00976C5B"/>
    <w:rsid w:val="00977AF3"/>
    <w:rsid w:val="00984BC1"/>
    <w:rsid w:val="0098503D"/>
    <w:rsid w:val="00985379"/>
    <w:rsid w:val="0098546A"/>
    <w:rsid w:val="00986ED0"/>
    <w:rsid w:val="00987AAD"/>
    <w:rsid w:val="00994C04"/>
    <w:rsid w:val="00995E69"/>
    <w:rsid w:val="0099680C"/>
    <w:rsid w:val="009973A2"/>
    <w:rsid w:val="00997A30"/>
    <w:rsid w:val="009A50FB"/>
    <w:rsid w:val="009A53C3"/>
    <w:rsid w:val="009B1626"/>
    <w:rsid w:val="009B18F3"/>
    <w:rsid w:val="009B2991"/>
    <w:rsid w:val="009B3A95"/>
    <w:rsid w:val="009B3D09"/>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0126"/>
    <w:rsid w:val="00A176D1"/>
    <w:rsid w:val="00A20AC0"/>
    <w:rsid w:val="00A20E4E"/>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76637"/>
    <w:rsid w:val="00A816E3"/>
    <w:rsid w:val="00A83EF8"/>
    <w:rsid w:val="00A84CB2"/>
    <w:rsid w:val="00A8567C"/>
    <w:rsid w:val="00A97679"/>
    <w:rsid w:val="00AA36AE"/>
    <w:rsid w:val="00AA4676"/>
    <w:rsid w:val="00AA5368"/>
    <w:rsid w:val="00AA5788"/>
    <w:rsid w:val="00AB3CC0"/>
    <w:rsid w:val="00AC2672"/>
    <w:rsid w:val="00AD4464"/>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5A8"/>
    <w:rsid w:val="00B217EF"/>
    <w:rsid w:val="00B23CB5"/>
    <w:rsid w:val="00B30B4F"/>
    <w:rsid w:val="00B32541"/>
    <w:rsid w:val="00B36E09"/>
    <w:rsid w:val="00B40253"/>
    <w:rsid w:val="00B429B2"/>
    <w:rsid w:val="00B43B65"/>
    <w:rsid w:val="00B453B3"/>
    <w:rsid w:val="00B50D9C"/>
    <w:rsid w:val="00B609ED"/>
    <w:rsid w:val="00B61517"/>
    <w:rsid w:val="00B652A8"/>
    <w:rsid w:val="00B6704B"/>
    <w:rsid w:val="00B82ABB"/>
    <w:rsid w:val="00B82AC2"/>
    <w:rsid w:val="00B84101"/>
    <w:rsid w:val="00B92C40"/>
    <w:rsid w:val="00B94BE7"/>
    <w:rsid w:val="00B967E4"/>
    <w:rsid w:val="00B96C23"/>
    <w:rsid w:val="00BA1519"/>
    <w:rsid w:val="00BA1C51"/>
    <w:rsid w:val="00BA22ED"/>
    <w:rsid w:val="00BA30E0"/>
    <w:rsid w:val="00BA3346"/>
    <w:rsid w:val="00BA4E78"/>
    <w:rsid w:val="00BB52EE"/>
    <w:rsid w:val="00BB71C8"/>
    <w:rsid w:val="00BC3B7E"/>
    <w:rsid w:val="00BC4B17"/>
    <w:rsid w:val="00BC68CE"/>
    <w:rsid w:val="00BC7AD9"/>
    <w:rsid w:val="00BD44EC"/>
    <w:rsid w:val="00BD48B6"/>
    <w:rsid w:val="00BD51D7"/>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124E"/>
    <w:rsid w:val="00CE495D"/>
    <w:rsid w:val="00CF227E"/>
    <w:rsid w:val="00CF6B03"/>
    <w:rsid w:val="00CF7B45"/>
    <w:rsid w:val="00D02123"/>
    <w:rsid w:val="00D04BEA"/>
    <w:rsid w:val="00D07174"/>
    <w:rsid w:val="00D07BAA"/>
    <w:rsid w:val="00D145C2"/>
    <w:rsid w:val="00D20043"/>
    <w:rsid w:val="00D224EE"/>
    <w:rsid w:val="00D26B98"/>
    <w:rsid w:val="00D26E10"/>
    <w:rsid w:val="00D308C1"/>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07E6"/>
    <w:rsid w:val="00D7302B"/>
    <w:rsid w:val="00D75C72"/>
    <w:rsid w:val="00D779C4"/>
    <w:rsid w:val="00D82BCE"/>
    <w:rsid w:val="00D833FB"/>
    <w:rsid w:val="00D83A99"/>
    <w:rsid w:val="00D900D0"/>
    <w:rsid w:val="00D968E5"/>
    <w:rsid w:val="00DB125E"/>
    <w:rsid w:val="00DB2104"/>
    <w:rsid w:val="00DB28E3"/>
    <w:rsid w:val="00DB346B"/>
    <w:rsid w:val="00DB3C65"/>
    <w:rsid w:val="00DB5F9F"/>
    <w:rsid w:val="00DB7553"/>
    <w:rsid w:val="00DC16C2"/>
    <w:rsid w:val="00DC424F"/>
    <w:rsid w:val="00DD2F42"/>
    <w:rsid w:val="00DD4221"/>
    <w:rsid w:val="00DD6076"/>
    <w:rsid w:val="00DD6CB2"/>
    <w:rsid w:val="00DD7BF5"/>
    <w:rsid w:val="00DE1017"/>
    <w:rsid w:val="00DE190D"/>
    <w:rsid w:val="00DE37E7"/>
    <w:rsid w:val="00DF3087"/>
    <w:rsid w:val="00DF5464"/>
    <w:rsid w:val="00DF75A5"/>
    <w:rsid w:val="00E013DA"/>
    <w:rsid w:val="00E07F4F"/>
    <w:rsid w:val="00E10315"/>
    <w:rsid w:val="00E124CF"/>
    <w:rsid w:val="00E12BA0"/>
    <w:rsid w:val="00E13B75"/>
    <w:rsid w:val="00E13F52"/>
    <w:rsid w:val="00E202AC"/>
    <w:rsid w:val="00E21921"/>
    <w:rsid w:val="00E220C5"/>
    <w:rsid w:val="00E23D8E"/>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670"/>
    <w:rsid w:val="00EC7B3F"/>
    <w:rsid w:val="00EC7DD8"/>
    <w:rsid w:val="00ED33D9"/>
    <w:rsid w:val="00ED510A"/>
    <w:rsid w:val="00EE2D86"/>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67A4D"/>
    <w:rsid w:val="00F761BC"/>
    <w:rsid w:val="00F76DFF"/>
    <w:rsid w:val="00F844D7"/>
    <w:rsid w:val="00F923C5"/>
    <w:rsid w:val="00F923FA"/>
    <w:rsid w:val="00F93565"/>
    <w:rsid w:val="00FA0D7D"/>
    <w:rsid w:val="00FA363F"/>
    <w:rsid w:val="00FA4829"/>
    <w:rsid w:val="00FB493D"/>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DECD"/>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045330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4813314">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3471674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61658302">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7334720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58947944">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26397551">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18104627">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531975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1921870551">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1998143883">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6559385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f.ge/5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9A45-9151-41B2-ABA2-8B1DE2C5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6654</Words>
  <Characters>37931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5</cp:revision>
  <cp:lastPrinted>2023-09-28T13:26:00Z</cp:lastPrinted>
  <dcterms:created xsi:type="dcterms:W3CDTF">2023-09-28T13:27:00Z</dcterms:created>
  <dcterms:modified xsi:type="dcterms:W3CDTF">2023-09-28T16:30:00Z</dcterms:modified>
</cp:coreProperties>
</file>